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E75C" w14:textId="77777777" w:rsidR="005C2A4E" w:rsidRDefault="005C2A4E" w:rsidP="005C2A4E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EA51559" wp14:editId="7E30E40D">
            <wp:extent cx="2722379" cy="7591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30" cy="7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7799" w14:textId="77777777" w:rsidR="005C2A4E" w:rsidRPr="00363E04" w:rsidRDefault="005C2A4E" w:rsidP="005C2A4E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OneCare Vermont Accountable Care Organization, LLC</w:t>
      </w:r>
    </w:p>
    <w:p w14:paraId="1B32E923" w14:textId="77777777" w:rsidR="005C2A4E" w:rsidRPr="00363E04" w:rsidRDefault="005C2A4E" w:rsidP="005C2A4E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Board of Managers Meeting</w:t>
      </w:r>
    </w:p>
    <w:p w14:paraId="0B26968F" w14:textId="77777777" w:rsidR="005C2A4E" w:rsidRPr="00363E04" w:rsidRDefault="005C2A4E" w:rsidP="005C2A4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September 19, 2023</w:t>
      </w:r>
    </w:p>
    <w:p w14:paraId="626A9592" w14:textId="77777777" w:rsidR="005C2A4E" w:rsidRPr="00363E04" w:rsidRDefault="005C2A4E" w:rsidP="005C2A4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Public Session </w:t>
      </w:r>
      <w:r w:rsidRPr="00363E04">
        <w:rPr>
          <w:b/>
          <w:sz w:val="28"/>
        </w:rPr>
        <w:t>Minutes</w:t>
      </w:r>
    </w:p>
    <w:p w14:paraId="2DF8EB47" w14:textId="77777777" w:rsidR="005C2A4E" w:rsidRDefault="005C2A4E" w:rsidP="005C2A4E">
      <w:pPr>
        <w:spacing w:after="0"/>
      </w:pPr>
    </w:p>
    <w:p w14:paraId="4166CDDF" w14:textId="77777777" w:rsidR="005C2A4E" w:rsidRPr="00E822D8" w:rsidRDefault="005C2A4E" w:rsidP="005C2A4E">
      <w:pPr>
        <w:rPr>
          <w:sz w:val="24"/>
        </w:rPr>
      </w:pPr>
      <w:r w:rsidRPr="00363E04">
        <w:rPr>
          <w:sz w:val="24"/>
        </w:rPr>
        <w:t>A meeting of the Board of Managers of OneCare Vermont Accountable Care Organization, LLC (“OneCare”) was held remotely vi</w:t>
      </w:r>
      <w:r>
        <w:rPr>
          <w:sz w:val="24"/>
        </w:rPr>
        <w:t xml:space="preserve">a video and </w:t>
      </w:r>
      <w:r w:rsidR="002B01B0">
        <w:rPr>
          <w:sz w:val="24"/>
        </w:rPr>
        <w:t>phone conference on September 19</w:t>
      </w:r>
      <w:r>
        <w:rPr>
          <w:sz w:val="24"/>
        </w:rPr>
        <w:t>, 2023</w:t>
      </w:r>
      <w:r w:rsidRPr="00363E04">
        <w:rPr>
          <w:sz w:val="24"/>
        </w:rPr>
        <w:t>.</w:t>
      </w:r>
      <w:r>
        <w:rPr>
          <w:sz w:val="24"/>
        </w:rPr>
        <w:t xml:space="preserve"> Public access was also available at the OneCare Offices in Colchester, Vermont. </w:t>
      </w:r>
    </w:p>
    <w:p w14:paraId="1FF4BE01" w14:textId="77777777" w:rsidR="002B01B0" w:rsidRPr="00363E04" w:rsidRDefault="002B01B0" w:rsidP="002B01B0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Call to Order and Board Announcements</w:t>
      </w:r>
    </w:p>
    <w:p w14:paraId="0B29E59D" w14:textId="41E5557B" w:rsidR="002B01B0" w:rsidRDefault="002B01B0" w:rsidP="002B01B0">
      <w:pPr>
        <w:pStyle w:val="ListParagraph"/>
        <w:rPr>
          <w:sz w:val="24"/>
        </w:rPr>
      </w:pPr>
      <w:r>
        <w:rPr>
          <w:sz w:val="24"/>
        </w:rPr>
        <w:t xml:space="preserve">Board Chair Anya Rader Wallack called the meeting to </w:t>
      </w:r>
      <w:r w:rsidRPr="00D87D34">
        <w:rPr>
          <w:sz w:val="24"/>
        </w:rPr>
        <w:t xml:space="preserve">order </w:t>
      </w:r>
      <w:r w:rsidRPr="00A65F44">
        <w:rPr>
          <w:sz w:val="24"/>
        </w:rPr>
        <w:t xml:space="preserve">at </w:t>
      </w:r>
      <w:r w:rsidRPr="005C2F89">
        <w:rPr>
          <w:sz w:val="24"/>
        </w:rPr>
        <w:t>4</w:t>
      </w:r>
      <w:r w:rsidR="005C2F89" w:rsidRPr="005C2F89">
        <w:rPr>
          <w:sz w:val="24"/>
        </w:rPr>
        <w:t>:33</w:t>
      </w:r>
      <w:r w:rsidRPr="005C2F89">
        <w:rPr>
          <w:sz w:val="24"/>
        </w:rPr>
        <w:t xml:space="preserve"> p.</w:t>
      </w:r>
      <w:r w:rsidRPr="00BE746C">
        <w:rPr>
          <w:sz w:val="24"/>
        </w:rPr>
        <w:t>m.</w:t>
      </w:r>
      <w:r>
        <w:rPr>
          <w:sz w:val="24"/>
        </w:rPr>
        <w:t xml:space="preserve"> </w:t>
      </w:r>
      <w:r w:rsidR="000B6330">
        <w:rPr>
          <w:sz w:val="24"/>
        </w:rPr>
        <w:t>She announced that t</w:t>
      </w:r>
      <w:r w:rsidR="005C2F89">
        <w:rPr>
          <w:sz w:val="24"/>
        </w:rPr>
        <w:t xml:space="preserve">he October Board Meeting will be </w:t>
      </w:r>
      <w:r w:rsidR="00AD6196">
        <w:rPr>
          <w:sz w:val="24"/>
        </w:rPr>
        <w:t xml:space="preserve">held </w:t>
      </w:r>
      <w:r w:rsidR="005C2F89">
        <w:rPr>
          <w:sz w:val="24"/>
        </w:rPr>
        <w:t xml:space="preserve">in-person </w:t>
      </w:r>
      <w:r w:rsidR="00AD6196">
        <w:rPr>
          <w:sz w:val="24"/>
        </w:rPr>
        <w:t xml:space="preserve">at Central Vermont Medical Center </w:t>
      </w:r>
      <w:r w:rsidR="005C2F89">
        <w:rPr>
          <w:sz w:val="24"/>
        </w:rPr>
        <w:t>on October 19</w:t>
      </w:r>
      <w:r w:rsidR="005C2F89" w:rsidRPr="005C2F89">
        <w:rPr>
          <w:sz w:val="24"/>
          <w:vertAlign w:val="superscript"/>
        </w:rPr>
        <w:t>th</w:t>
      </w:r>
      <w:r w:rsidR="005C2F89">
        <w:rPr>
          <w:sz w:val="24"/>
        </w:rPr>
        <w:t xml:space="preserve"> with </w:t>
      </w:r>
      <w:r w:rsidR="000B6330">
        <w:rPr>
          <w:sz w:val="24"/>
        </w:rPr>
        <w:t>discussion of the new CMMI AHEAD model</w:t>
      </w:r>
      <w:r w:rsidR="005C2F89">
        <w:rPr>
          <w:sz w:val="24"/>
        </w:rPr>
        <w:t xml:space="preserve"> featured in </w:t>
      </w:r>
      <w:r w:rsidR="00314E5F">
        <w:rPr>
          <w:sz w:val="24"/>
        </w:rPr>
        <w:t>the public session</w:t>
      </w:r>
      <w:r w:rsidR="000B6330">
        <w:rPr>
          <w:sz w:val="24"/>
        </w:rPr>
        <w:t xml:space="preserve"> with guest speaker, Pat Jones, Interim Director of Health Care Reform</w:t>
      </w:r>
      <w:r w:rsidR="005C2F89">
        <w:rPr>
          <w:sz w:val="24"/>
        </w:rPr>
        <w:t xml:space="preserve">. </w:t>
      </w:r>
    </w:p>
    <w:p w14:paraId="615A62D1" w14:textId="77777777" w:rsidR="002B01B0" w:rsidRDefault="002B01B0" w:rsidP="002B01B0">
      <w:pPr>
        <w:pStyle w:val="ListParagraph"/>
        <w:ind w:left="360" w:firstLine="360"/>
        <w:rPr>
          <w:sz w:val="24"/>
        </w:rPr>
      </w:pPr>
    </w:p>
    <w:p w14:paraId="638DE143" w14:textId="77777777" w:rsidR="002B01B0" w:rsidRDefault="002B01B0" w:rsidP="002B01B0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Welcome Board Managers, Invited Guests, and Members of the Public</w:t>
      </w:r>
    </w:p>
    <w:p w14:paraId="5507B269" w14:textId="77777777" w:rsidR="002B01B0" w:rsidRDefault="002B01B0" w:rsidP="002B01B0">
      <w:pPr>
        <w:pStyle w:val="ListParagraph"/>
        <w:rPr>
          <w:sz w:val="24"/>
        </w:rPr>
      </w:pPr>
      <w:r w:rsidRPr="007630D6">
        <w:rPr>
          <w:sz w:val="24"/>
        </w:rPr>
        <w:t>Chair Wallack welcomed members of the public in attendance and offered the opportunity to introduce themselves.</w:t>
      </w:r>
      <w:r>
        <w:rPr>
          <w:sz w:val="24"/>
        </w:rPr>
        <w:t xml:space="preserve"> </w:t>
      </w:r>
    </w:p>
    <w:p w14:paraId="235455A4" w14:textId="77777777" w:rsidR="002B01B0" w:rsidRPr="006500AB" w:rsidRDefault="002B01B0" w:rsidP="002B01B0">
      <w:pPr>
        <w:pStyle w:val="ListParagraph"/>
      </w:pPr>
    </w:p>
    <w:p w14:paraId="756632D7" w14:textId="77777777" w:rsidR="002B01B0" w:rsidRPr="004A64B8" w:rsidRDefault="002B01B0" w:rsidP="002B01B0">
      <w:pPr>
        <w:pStyle w:val="ListParagraph"/>
        <w:numPr>
          <w:ilvl w:val="0"/>
          <w:numId w:val="1"/>
        </w:numPr>
        <w:rPr>
          <w:sz w:val="24"/>
        </w:rPr>
      </w:pPr>
      <w:r w:rsidRPr="004A64B8">
        <w:rPr>
          <w:sz w:val="24"/>
          <w:u w:val="single"/>
        </w:rPr>
        <w:t>Public Consent Agenda Items</w:t>
      </w:r>
    </w:p>
    <w:p w14:paraId="6CB96022" w14:textId="77777777" w:rsidR="002B01B0" w:rsidRDefault="002B01B0" w:rsidP="002B01B0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The Board reviewed consent agenda items including: (1) </w:t>
      </w:r>
      <w:r>
        <w:rPr>
          <w:rFonts w:ascii="Calibri" w:hAnsi="Calibri" w:cs="Calibri"/>
          <w:color w:val="000000" w:themeColor="text1"/>
          <w:sz w:val="24"/>
          <w:szCs w:val="24"/>
        </w:rPr>
        <w:t>Draft Public</w:t>
      </w: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 Sessio</w:t>
      </w:r>
      <w:r>
        <w:rPr>
          <w:rFonts w:ascii="Calibri" w:hAnsi="Calibri" w:cs="Calibri"/>
          <w:color w:val="000000" w:themeColor="text1"/>
          <w:sz w:val="24"/>
          <w:szCs w:val="24"/>
        </w:rPr>
        <w:t>n Minutes from August 15, 2023; (2) Draft Public</w:t>
      </w: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 Sessio</w:t>
      </w:r>
      <w:r>
        <w:rPr>
          <w:rFonts w:ascii="Calibri" w:hAnsi="Calibri" w:cs="Calibri"/>
          <w:color w:val="000000" w:themeColor="text1"/>
          <w:sz w:val="24"/>
          <w:szCs w:val="24"/>
        </w:rPr>
        <w:t>n Minutes from August 31, 2023; and (3) Board Committee Reports September 2023.</w:t>
      </w:r>
    </w:p>
    <w:p w14:paraId="1EA9E646" w14:textId="77777777" w:rsidR="002B01B0" w:rsidRPr="004A64B8" w:rsidRDefault="002B01B0" w:rsidP="002B01B0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76F3D0E3" w14:textId="77777777" w:rsidR="002B01B0" w:rsidRDefault="002B01B0" w:rsidP="002B01B0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An opportunity for discussion was offered. </w:t>
      </w:r>
    </w:p>
    <w:p w14:paraId="02A17CEB" w14:textId="77777777" w:rsidR="002B01B0" w:rsidRPr="004A64B8" w:rsidRDefault="002B01B0" w:rsidP="002B01B0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0841FEF1" w14:textId="77777777" w:rsidR="002B01B0" w:rsidRDefault="002B01B0" w:rsidP="005C2F89">
      <w:pPr>
        <w:pStyle w:val="ListParagraph"/>
        <w:rPr>
          <w:rFonts w:eastAsia="Times New Roman" w:cstheme="minorHAnsi"/>
          <w:sz w:val="24"/>
          <w:szCs w:val="24"/>
        </w:rPr>
      </w:pPr>
      <w:r w:rsidRPr="00722D28">
        <w:rPr>
          <w:rFonts w:eastAsia="Times New Roman" w:cstheme="minorHAnsi"/>
          <w:sz w:val="24"/>
          <w:szCs w:val="24"/>
        </w:rPr>
        <w:t xml:space="preserve">A Motion to Approve the Consent Agenda Items was made by </w:t>
      </w:r>
      <w:r w:rsidR="005C2F89">
        <w:rPr>
          <w:rFonts w:eastAsia="Times New Roman" w:cstheme="minorHAnsi"/>
          <w:sz w:val="24"/>
          <w:szCs w:val="24"/>
        </w:rPr>
        <w:t>S. LeBlanc</w:t>
      </w:r>
      <w:r>
        <w:rPr>
          <w:rFonts w:eastAsia="Times New Roman" w:cstheme="minorHAnsi"/>
          <w:sz w:val="24"/>
          <w:szCs w:val="24"/>
        </w:rPr>
        <w:t>, secon</w:t>
      </w:r>
      <w:r w:rsidRPr="001D6CC5">
        <w:rPr>
          <w:rFonts w:eastAsia="Times New Roman" w:cstheme="minorHAnsi"/>
          <w:sz w:val="24"/>
          <w:szCs w:val="24"/>
        </w:rPr>
        <w:t xml:space="preserve">ded by </w:t>
      </w:r>
      <w:r w:rsidR="005C2F89">
        <w:rPr>
          <w:rFonts w:eastAsia="Times New Roman" w:cstheme="minorHAnsi"/>
          <w:sz w:val="24"/>
          <w:szCs w:val="24"/>
        </w:rPr>
        <w:t>M. Costa</w:t>
      </w:r>
      <w:r>
        <w:rPr>
          <w:rFonts w:eastAsia="Times New Roman" w:cstheme="minorHAnsi"/>
          <w:sz w:val="24"/>
          <w:szCs w:val="24"/>
        </w:rPr>
        <w:t>,</w:t>
      </w:r>
      <w:r w:rsidRPr="00722D28">
        <w:rPr>
          <w:rFonts w:eastAsia="Times New Roman" w:cstheme="minorHAnsi"/>
          <w:sz w:val="24"/>
          <w:szCs w:val="24"/>
        </w:rPr>
        <w:t xml:space="preserve"> and</w:t>
      </w:r>
      <w:r w:rsidR="00827D89">
        <w:rPr>
          <w:rFonts w:eastAsia="Times New Roman" w:cstheme="minorHAnsi"/>
          <w:sz w:val="24"/>
          <w:szCs w:val="24"/>
        </w:rPr>
        <w:t xml:space="preserve"> approved by a </w:t>
      </w:r>
      <w:r>
        <w:rPr>
          <w:rFonts w:eastAsia="Times New Roman" w:cstheme="minorHAnsi"/>
          <w:sz w:val="24"/>
          <w:szCs w:val="24"/>
        </w:rPr>
        <w:t>majority</w:t>
      </w:r>
      <w:r w:rsidRPr="00D87D34">
        <w:rPr>
          <w:rFonts w:eastAsia="Times New Roman" w:cstheme="minorHAnsi"/>
          <w:sz w:val="24"/>
          <w:szCs w:val="24"/>
        </w:rPr>
        <w:t>.</w:t>
      </w:r>
      <w:r w:rsidRPr="00E72931">
        <w:rPr>
          <w:rFonts w:eastAsia="Times New Roman" w:cstheme="minorHAnsi"/>
          <w:sz w:val="24"/>
          <w:szCs w:val="24"/>
        </w:rPr>
        <w:t xml:space="preserve"> </w:t>
      </w:r>
    </w:p>
    <w:p w14:paraId="66DE2689" w14:textId="77777777" w:rsidR="005C2F89" w:rsidRPr="005C2F89" w:rsidRDefault="005C2F89" w:rsidP="005C2F89">
      <w:pPr>
        <w:pStyle w:val="ListParagraph"/>
        <w:rPr>
          <w:rFonts w:eastAsia="Times New Roman" w:cstheme="minorHAnsi"/>
          <w:sz w:val="24"/>
          <w:szCs w:val="24"/>
        </w:rPr>
      </w:pPr>
    </w:p>
    <w:p w14:paraId="7379556F" w14:textId="77777777" w:rsidR="002B01B0" w:rsidRPr="002B01B0" w:rsidRDefault="002B01B0" w:rsidP="002B01B0">
      <w:pPr>
        <w:pStyle w:val="ListParagraph"/>
        <w:numPr>
          <w:ilvl w:val="0"/>
          <w:numId w:val="1"/>
        </w:numPr>
        <w:rPr>
          <w:sz w:val="24"/>
        </w:rPr>
      </w:pPr>
      <w:r w:rsidRPr="002B01B0">
        <w:rPr>
          <w:sz w:val="24"/>
          <w:u w:val="single"/>
        </w:rPr>
        <w:t>Data Platform Transition</w:t>
      </w:r>
    </w:p>
    <w:p w14:paraId="10CF8807" w14:textId="6C68171E" w:rsidR="002B01B0" w:rsidRDefault="002B01B0" w:rsidP="002B01B0">
      <w:pPr>
        <w:pStyle w:val="ListParagraph"/>
        <w:rPr>
          <w:sz w:val="24"/>
        </w:rPr>
      </w:pPr>
      <w:r>
        <w:rPr>
          <w:sz w:val="24"/>
        </w:rPr>
        <w:t>Greg Carlow</w:t>
      </w:r>
      <w:r w:rsidR="00AD6196">
        <w:rPr>
          <w:sz w:val="24"/>
        </w:rPr>
        <w:t>, Network Associate Vice President of</w:t>
      </w:r>
      <w:r w:rsidR="00AD6196" w:rsidRPr="00AD6196">
        <w:rPr>
          <w:sz w:val="24"/>
        </w:rPr>
        <w:t xml:space="preserve"> Popul</w:t>
      </w:r>
      <w:r w:rsidR="00AD6196">
        <w:rPr>
          <w:sz w:val="24"/>
        </w:rPr>
        <w:t>ation Health Services at the University of Vermont Health Network,</w:t>
      </w:r>
      <w:r>
        <w:rPr>
          <w:sz w:val="24"/>
        </w:rPr>
        <w:t xml:space="preserve"> and Leah Fullem</w:t>
      </w:r>
      <w:r w:rsidR="00AD6196">
        <w:rPr>
          <w:sz w:val="24"/>
        </w:rPr>
        <w:t>,</w:t>
      </w:r>
      <w:r w:rsidR="00AD6196" w:rsidRPr="00AD6196">
        <w:t xml:space="preserve"> </w:t>
      </w:r>
      <w:r w:rsidR="00AD6196">
        <w:rPr>
          <w:sz w:val="24"/>
        </w:rPr>
        <w:t>Vice President of</w:t>
      </w:r>
      <w:r w:rsidR="00AD6196" w:rsidRPr="00AD6196">
        <w:rPr>
          <w:sz w:val="24"/>
        </w:rPr>
        <w:t xml:space="preserve"> Enterprise Info</w:t>
      </w:r>
      <w:r w:rsidR="00AD6196">
        <w:rPr>
          <w:sz w:val="24"/>
        </w:rPr>
        <w:t>rmation</w:t>
      </w:r>
      <w:r w:rsidR="00AD6196" w:rsidRPr="00AD6196">
        <w:rPr>
          <w:sz w:val="24"/>
        </w:rPr>
        <w:t xml:space="preserve"> M</w:t>
      </w:r>
      <w:r w:rsidR="00AD6196">
        <w:rPr>
          <w:sz w:val="24"/>
        </w:rPr>
        <w:t>anagement</w:t>
      </w:r>
      <w:r w:rsidR="00AD6196" w:rsidRPr="00AD6196">
        <w:rPr>
          <w:sz w:val="24"/>
        </w:rPr>
        <w:t xml:space="preserve"> &amp; Analytics</w:t>
      </w:r>
      <w:r w:rsidR="00AD6196">
        <w:rPr>
          <w:sz w:val="24"/>
        </w:rPr>
        <w:t xml:space="preserve"> at the University of Vermont Health Network provided an update on the transition to the Arcadia data platform. </w:t>
      </w:r>
      <w:r w:rsidR="0059607F">
        <w:rPr>
          <w:sz w:val="24"/>
        </w:rPr>
        <w:t xml:space="preserve">The </w:t>
      </w:r>
      <w:proofErr w:type="gramStart"/>
      <w:r w:rsidR="00AD6196">
        <w:rPr>
          <w:sz w:val="24"/>
        </w:rPr>
        <w:t>platform</w:t>
      </w:r>
      <w:r w:rsidR="0059607F">
        <w:rPr>
          <w:sz w:val="24"/>
        </w:rPr>
        <w:t xml:space="preserve">  aggregate</w:t>
      </w:r>
      <w:r w:rsidR="00AD6196">
        <w:rPr>
          <w:sz w:val="24"/>
        </w:rPr>
        <w:t>s</w:t>
      </w:r>
      <w:proofErr w:type="gramEnd"/>
      <w:r w:rsidR="0059607F">
        <w:rPr>
          <w:sz w:val="24"/>
        </w:rPr>
        <w:t xml:space="preserve"> clinical, claims, and other data sources to provide comparative analytics for evaluating OneCare’s performance measures and to identify improvement opportunities across populations. </w:t>
      </w:r>
    </w:p>
    <w:p w14:paraId="04A21C09" w14:textId="77777777" w:rsidR="0059607F" w:rsidRDefault="0059607F" w:rsidP="002B01B0">
      <w:pPr>
        <w:pStyle w:val="ListParagraph"/>
        <w:rPr>
          <w:sz w:val="24"/>
        </w:rPr>
      </w:pPr>
    </w:p>
    <w:p w14:paraId="5A1A2E2E" w14:textId="26AD89D2" w:rsidR="0059607F" w:rsidRDefault="0059607F" w:rsidP="002B01B0">
      <w:pPr>
        <w:pStyle w:val="ListParagraph"/>
        <w:rPr>
          <w:sz w:val="24"/>
        </w:rPr>
      </w:pPr>
      <w:r>
        <w:rPr>
          <w:sz w:val="24"/>
        </w:rPr>
        <w:t xml:space="preserve"> The preliminary rollout </w:t>
      </w:r>
      <w:r w:rsidR="000B6330">
        <w:rPr>
          <w:sz w:val="24"/>
        </w:rPr>
        <w:t>begins this month with</w:t>
      </w:r>
      <w:r w:rsidR="00AD6196">
        <w:rPr>
          <w:sz w:val="24"/>
        </w:rPr>
        <w:t xml:space="preserve"> a small group of users</w:t>
      </w:r>
      <w:r w:rsidR="000B6330">
        <w:rPr>
          <w:sz w:val="24"/>
        </w:rPr>
        <w:t xml:space="preserve"> and a focus on the Primary Care Report for the Medicaid population</w:t>
      </w:r>
      <w:r w:rsidR="00AD6196">
        <w:rPr>
          <w:sz w:val="24"/>
        </w:rPr>
        <w:t xml:space="preserve">. Additional reports will be released over the next several months and user feedback will be collected. The platform </w:t>
      </w:r>
      <w:r>
        <w:rPr>
          <w:sz w:val="24"/>
        </w:rPr>
        <w:t xml:space="preserve">is </w:t>
      </w:r>
      <w:r w:rsidR="00AD6196">
        <w:rPr>
          <w:sz w:val="24"/>
        </w:rPr>
        <w:t xml:space="preserve">scheduled </w:t>
      </w:r>
      <w:r>
        <w:rPr>
          <w:sz w:val="24"/>
        </w:rPr>
        <w:t>to be live</w:t>
      </w:r>
      <w:r w:rsidR="00AD6196">
        <w:rPr>
          <w:sz w:val="24"/>
        </w:rPr>
        <w:t xml:space="preserve"> for all users</w:t>
      </w:r>
      <w:r>
        <w:rPr>
          <w:sz w:val="24"/>
        </w:rPr>
        <w:t xml:space="preserve"> in January 2024. </w:t>
      </w:r>
    </w:p>
    <w:p w14:paraId="4508CB41" w14:textId="5BBE5EB7" w:rsidR="009600DC" w:rsidRPr="00DC1352" w:rsidRDefault="009600DC" w:rsidP="00DC1352">
      <w:pPr>
        <w:pStyle w:val="ListParagraph"/>
      </w:pPr>
      <w:r>
        <w:rPr>
          <w:sz w:val="24"/>
        </w:rPr>
        <w:t xml:space="preserve">Chair Wallack asked what will </w:t>
      </w:r>
      <w:r w:rsidR="00AD6196">
        <w:rPr>
          <w:sz w:val="24"/>
        </w:rPr>
        <w:t>change for</w:t>
      </w:r>
      <w:r>
        <w:rPr>
          <w:sz w:val="24"/>
        </w:rPr>
        <w:t xml:space="preserve"> OneCare providers with the implementation of Arcadia. Dr. Carrie Wulfman answered</w:t>
      </w:r>
      <w:r w:rsidR="00AD6196">
        <w:rPr>
          <w:sz w:val="24"/>
        </w:rPr>
        <w:t xml:space="preserve"> that</w:t>
      </w:r>
      <w:r>
        <w:rPr>
          <w:sz w:val="24"/>
        </w:rPr>
        <w:t xml:space="preserve"> data </w:t>
      </w:r>
      <w:r w:rsidR="00AD6196">
        <w:rPr>
          <w:sz w:val="24"/>
        </w:rPr>
        <w:t>will</w:t>
      </w:r>
      <w:r w:rsidR="000B6330">
        <w:rPr>
          <w:sz w:val="24"/>
        </w:rPr>
        <w:t xml:space="preserve"> </w:t>
      </w:r>
      <w:r>
        <w:rPr>
          <w:sz w:val="24"/>
        </w:rPr>
        <w:t xml:space="preserve">easily accessible and </w:t>
      </w:r>
      <w:r w:rsidR="000B6330">
        <w:rPr>
          <w:sz w:val="24"/>
        </w:rPr>
        <w:t xml:space="preserve">of </w:t>
      </w:r>
      <w:r>
        <w:rPr>
          <w:sz w:val="24"/>
        </w:rPr>
        <w:t xml:space="preserve">higher quality. </w:t>
      </w:r>
    </w:p>
    <w:p w14:paraId="755ADC9A" w14:textId="77777777" w:rsidR="004876DD" w:rsidRDefault="004876DD" w:rsidP="002B01B0">
      <w:pPr>
        <w:pStyle w:val="ListParagraph"/>
        <w:rPr>
          <w:sz w:val="24"/>
        </w:rPr>
      </w:pPr>
    </w:p>
    <w:p w14:paraId="39CDE82C" w14:textId="1047CC47" w:rsidR="004876DD" w:rsidRPr="00215D93" w:rsidRDefault="00AD6196" w:rsidP="002B01B0">
      <w:pPr>
        <w:pStyle w:val="ListParagraph"/>
        <w:rPr>
          <w:sz w:val="24"/>
        </w:rPr>
      </w:pPr>
      <w:r>
        <w:rPr>
          <w:sz w:val="24"/>
        </w:rPr>
        <w:t>Board</w:t>
      </w:r>
      <w:r w:rsidR="004876DD">
        <w:rPr>
          <w:sz w:val="24"/>
        </w:rPr>
        <w:t xml:space="preserve"> members emphasized the importance of </w:t>
      </w:r>
      <w:r>
        <w:rPr>
          <w:sz w:val="24"/>
        </w:rPr>
        <w:t xml:space="preserve">making the data accessible and easy to understand and </w:t>
      </w:r>
      <w:r w:rsidR="004876DD">
        <w:rPr>
          <w:sz w:val="24"/>
        </w:rPr>
        <w:t>including providers in the dat</w:t>
      </w:r>
      <w:r w:rsidR="005E6F29">
        <w:rPr>
          <w:sz w:val="24"/>
        </w:rPr>
        <w:t xml:space="preserve">a analysis and decision-making. </w:t>
      </w:r>
    </w:p>
    <w:p w14:paraId="2B50ACF0" w14:textId="77777777" w:rsidR="002B01B0" w:rsidRPr="00215D93" w:rsidRDefault="002B01B0" w:rsidP="002B01B0">
      <w:pPr>
        <w:pStyle w:val="ListParagraph"/>
        <w:rPr>
          <w:sz w:val="24"/>
          <w:u w:val="single"/>
        </w:rPr>
      </w:pPr>
    </w:p>
    <w:p w14:paraId="51073B91" w14:textId="77777777" w:rsidR="002B01B0" w:rsidRPr="002B01B0" w:rsidRDefault="002B01B0" w:rsidP="002B01B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B01B0">
        <w:rPr>
          <w:rFonts w:cs="Times New Roman"/>
          <w:sz w:val="24"/>
          <w:szCs w:val="24"/>
          <w:u w:val="single"/>
        </w:rPr>
        <w:t xml:space="preserve">2022 Annual ACO Quality Performance Results </w:t>
      </w:r>
    </w:p>
    <w:p w14:paraId="1D85155A" w14:textId="606150EA" w:rsidR="002B01B0" w:rsidRDefault="002B01B0" w:rsidP="002B01B0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Carrie Wulfman, MD and Chief Medical Officer, and Josiah Mueller</w:t>
      </w:r>
      <w:r w:rsidR="00AD6196">
        <w:rPr>
          <w:rFonts w:cs="Times New Roman"/>
          <w:sz w:val="24"/>
          <w:szCs w:val="24"/>
        </w:rPr>
        <w:t>, Director of Value Based Care,</w:t>
      </w:r>
      <w:r w:rsidR="005E6F29">
        <w:rPr>
          <w:rFonts w:cs="Times New Roman"/>
          <w:sz w:val="24"/>
          <w:szCs w:val="24"/>
        </w:rPr>
        <w:t xml:space="preserve"> discussed the </w:t>
      </w:r>
      <w:r w:rsidR="000B6330">
        <w:rPr>
          <w:rFonts w:cs="Times New Roman"/>
          <w:sz w:val="24"/>
          <w:szCs w:val="24"/>
        </w:rPr>
        <w:t xml:space="preserve">ACO’s </w:t>
      </w:r>
      <w:r w:rsidR="005E6F29">
        <w:rPr>
          <w:rFonts w:cs="Times New Roman"/>
          <w:sz w:val="24"/>
          <w:szCs w:val="24"/>
        </w:rPr>
        <w:t>annual quality results for 2022. The Medicare clinical and claims summary</w:t>
      </w:r>
      <w:r w:rsidR="00AD6196">
        <w:rPr>
          <w:rFonts w:cs="Times New Roman"/>
          <w:sz w:val="24"/>
          <w:szCs w:val="24"/>
        </w:rPr>
        <w:t xml:space="preserve"> was reviewed and</w:t>
      </w:r>
      <w:r w:rsidR="005E6F29">
        <w:rPr>
          <w:rFonts w:cs="Times New Roman"/>
          <w:sz w:val="24"/>
          <w:szCs w:val="24"/>
        </w:rPr>
        <w:t xml:space="preserve"> </w:t>
      </w:r>
      <w:r w:rsidR="00AD6196">
        <w:rPr>
          <w:rFonts w:cs="Times New Roman"/>
          <w:sz w:val="24"/>
          <w:szCs w:val="24"/>
        </w:rPr>
        <w:t>r</w:t>
      </w:r>
      <w:r w:rsidR="005E6F29">
        <w:rPr>
          <w:rFonts w:cs="Times New Roman"/>
          <w:sz w:val="24"/>
          <w:szCs w:val="24"/>
        </w:rPr>
        <w:t xml:space="preserve">esults were </w:t>
      </w:r>
      <w:r w:rsidR="00AD6196">
        <w:rPr>
          <w:rFonts w:cs="Times New Roman"/>
          <w:sz w:val="24"/>
          <w:szCs w:val="24"/>
        </w:rPr>
        <w:t>mostly</w:t>
      </w:r>
      <w:r w:rsidR="005E6F29">
        <w:rPr>
          <w:rFonts w:cs="Times New Roman"/>
          <w:sz w:val="24"/>
          <w:szCs w:val="24"/>
        </w:rPr>
        <w:t xml:space="preserve"> favorable or similar to previous years. </w:t>
      </w:r>
      <w:r w:rsidR="00AD6196">
        <w:rPr>
          <w:rFonts w:cs="Times New Roman"/>
          <w:sz w:val="24"/>
          <w:szCs w:val="24"/>
        </w:rPr>
        <w:t xml:space="preserve">There was a drop in </w:t>
      </w:r>
      <w:r w:rsidR="000B6330">
        <w:rPr>
          <w:rFonts w:cs="Times New Roman"/>
          <w:sz w:val="24"/>
          <w:szCs w:val="24"/>
        </w:rPr>
        <w:t>OneCare’s benchmarked performance</w:t>
      </w:r>
      <w:r w:rsidR="00AD6196">
        <w:rPr>
          <w:rFonts w:cs="Times New Roman"/>
          <w:sz w:val="24"/>
          <w:szCs w:val="24"/>
        </w:rPr>
        <w:t xml:space="preserve"> on the </w:t>
      </w:r>
      <w:r w:rsidR="005E6F29">
        <w:rPr>
          <w:rFonts w:cs="Times New Roman"/>
          <w:sz w:val="24"/>
          <w:szCs w:val="24"/>
        </w:rPr>
        <w:t xml:space="preserve">Tobacco use </w:t>
      </w:r>
      <w:r w:rsidR="00AD6196">
        <w:rPr>
          <w:rFonts w:cs="Times New Roman"/>
          <w:sz w:val="24"/>
          <w:szCs w:val="24"/>
        </w:rPr>
        <w:t xml:space="preserve">measure. Specifications of this measure changed this year and it is an area of opportunity. </w:t>
      </w:r>
      <w:r w:rsidR="005E6F29">
        <w:rPr>
          <w:rFonts w:cs="Times New Roman"/>
          <w:sz w:val="24"/>
          <w:szCs w:val="24"/>
        </w:rPr>
        <w:t xml:space="preserve"> </w:t>
      </w:r>
      <w:r w:rsidR="00AD6196">
        <w:rPr>
          <w:rFonts w:cs="Times New Roman"/>
          <w:sz w:val="24"/>
          <w:szCs w:val="24"/>
        </w:rPr>
        <w:t xml:space="preserve">The greatest area for opportunity is in </w:t>
      </w:r>
      <w:r w:rsidR="005E6F29">
        <w:rPr>
          <w:rFonts w:cs="Times New Roman"/>
          <w:sz w:val="24"/>
          <w:szCs w:val="24"/>
        </w:rPr>
        <w:t>Medicare patient experience scores</w:t>
      </w:r>
      <w:r w:rsidR="00AD6196">
        <w:rPr>
          <w:rFonts w:cs="Times New Roman"/>
          <w:sz w:val="24"/>
          <w:szCs w:val="24"/>
        </w:rPr>
        <w:t xml:space="preserve"> as</w:t>
      </w:r>
      <w:r w:rsidR="005E6F29">
        <w:rPr>
          <w:rFonts w:cs="Times New Roman"/>
          <w:sz w:val="24"/>
          <w:szCs w:val="24"/>
        </w:rPr>
        <w:t xml:space="preserve"> the rates mostly went down</w:t>
      </w:r>
      <w:r w:rsidR="00AD6196">
        <w:rPr>
          <w:rFonts w:cs="Times New Roman"/>
          <w:sz w:val="24"/>
          <w:szCs w:val="24"/>
        </w:rPr>
        <w:t xml:space="preserve">. </w:t>
      </w:r>
      <w:r w:rsidR="000B6330">
        <w:rPr>
          <w:rFonts w:cs="Times New Roman"/>
          <w:sz w:val="24"/>
          <w:szCs w:val="24"/>
        </w:rPr>
        <w:t xml:space="preserve">Mr. Mueller indicated OneCare has looked at three comparable ACOs and they have seen similar decreases in their patient experience scores for 2022. </w:t>
      </w:r>
      <w:r w:rsidR="00AD6196">
        <w:rPr>
          <w:rFonts w:cs="Times New Roman"/>
          <w:sz w:val="24"/>
          <w:szCs w:val="24"/>
        </w:rPr>
        <w:t>Board</w:t>
      </w:r>
      <w:r w:rsidR="00A00025">
        <w:rPr>
          <w:rFonts w:cs="Times New Roman"/>
          <w:sz w:val="24"/>
          <w:szCs w:val="24"/>
        </w:rPr>
        <w:t xml:space="preserve"> members commented on </w:t>
      </w:r>
      <w:r w:rsidR="00AD6196">
        <w:rPr>
          <w:rFonts w:cs="Times New Roman"/>
          <w:sz w:val="24"/>
          <w:szCs w:val="24"/>
        </w:rPr>
        <w:t xml:space="preserve">possible </w:t>
      </w:r>
      <w:r w:rsidR="00BE74FB">
        <w:rPr>
          <w:rFonts w:cs="Times New Roman"/>
          <w:sz w:val="24"/>
          <w:szCs w:val="24"/>
        </w:rPr>
        <w:t xml:space="preserve">reasons for </w:t>
      </w:r>
      <w:r w:rsidR="000B6330">
        <w:rPr>
          <w:rFonts w:cs="Times New Roman"/>
          <w:sz w:val="24"/>
          <w:szCs w:val="24"/>
        </w:rPr>
        <w:t xml:space="preserve">the </w:t>
      </w:r>
      <w:r w:rsidR="00AD6196">
        <w:rPr>
          <w:rFonts w:cs="Times New Roman"/>
          <w:sz w:val="24"/>
          <w:szCs w:val="24"/>
        </w:rPr>
        <w:t xml:space="preserve">decrease in scores and </w:t>
      </w:r>
      <w:r w:rsidR="00BE74FB">
        <w:rPr>
          <w:rFonts w:cs="Times New Roman"/>
          <w:sz w:val="24"/>
          <w:szCs w:val="24"/>
        </w:rPr>
        <w:t>the areas of opportunity</w:t>
      </w:r>
      <w:r w:rsidR="00A00025">
        <w:rPr>
          <w:rFonts w:cs="Times New Roman"/>
          <w:sz w:val="24"/>
          <w:szCs w:val="24"/>
        </w:rPr>
        <w:t xml:space="preserve"> they see within their own organizations</w:t>
      </w:r>
      <w:r w:rsidR="00AD6196">
        <w:rPr>
          <w:rFonts w:cs="Times New Roman"/>
          <w:sz w:val="24"/>
          <w:szCs w:val="24"/>
        </w:rPr>
        <w:t xml:space="preserve"> to improve these scores</w:t>
      </w:r>
      <w:r w:rsidR="00A00025">
        <w:rPr>
          <w:rFonts w:cs="Times New Roman"/>
          <w:sz w:val="24"/>
          <w:szCs w:val="24"/>
        </w:rPr>
        <w:t xml:space="preserve">. </w:t>
      </w:r>
    </w:p>
    <w:p w14:paraId="1590D1D9" w14:textId="77777777" w:rsidR="00A00025" w:rsidRDefault="00A00025" w:rsidP="002B01B0">
      <w:pPr>
        <w:pStyle w:val="ListParagraph"/>
        <w:rPr>
          <w:rFonts w:cs="Times New Roman"/>
          <w:sz w:val="24"/>
          <w:szCs w:val="24"/>
        </w:rPr>
      </w:pPr>
    </w:p>
    <w:p w14:paraId="6FCF357D" w14:textId="322425E2" w:rsidR="00A00025" w:rsidRPr="002B01B0" w:rsidRDefault="00A00025" w:rsidP="002B01B0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Medicaid results were also presented and discussed</w:t>
      </w:r>
      <w:r w:rsidR="00AD6196">
        <w:rPr>
          <w:rFonts w:cs="Times New Roman"/>
          <w:sz w:val="24"/>
          <w:szCs w:val="24"/>
        </w:rPr>
        <w:t>. Results</w:t>
      </w:r>
      <w:r>
        <w:rPr>
          <w:rFonts w:cs="Times New Roman"/>
          <w:sz w:val="24"/>
          <w:szCs w:val="24"/>
        </w:rPr>
        <w:t xml:space="preserve"> were </w:t>
      </w:r>
      <w:r w:rsidR="000B6330">
        <w:rPr>
          <w:rFonts w:cs="Times New Roman"/>
          <w:sz w:val="24"/>
          <w:szCs w:val="24"/>
        </w:rPr>
        <w:t>primarily</w:t>
      </w:r>
      <w:r>
        <w:rPr>
          <w:rFonts w:cs="Times New Roman"/>
          <w:sz w:val="24"/>
          <w:szCs w:val="24"/>
        </w:rPr>
        <w:t xml:space="preserve"> positive or stayed the same as previous years for benchmark percentiles. BlueCross BlueShield had mixed results, with some positive, some neutral, and some </w:t>
      </w:r>
      <w:r w:rsidR="00AD6196">
        <w:rPr>
          <w:rFonts w:cs="Times New Roman"/>
          <w:sz w:val="24"/>
          <w:szCs w:val="24"/>
        </w:rPr>
        <w:t>areas of opportunity</w:t>
      </w:r>
      <w:r>
        <w:rPr>
          <w:rFonts w:cs="Times New Roman"/>
          <w:sz w:val="24"/>
          <w:szCs w:val="24"/>
        </w:rPr>
        <w:t xml:space="preserve">. MVP also had mixed results. </w:t>
      </w:r>
      <w:r w:rsidR="00AD6196">
        <w:rPr>
          <w:rFonts w:cs="Times New Roman"/>
          <w:sz w:val="24"/>
          <w:szCs w:val="24"/>
        </w:rPr>
        <w:t xml:space="preserve">Results </w:t>
      </w:r>
      <w:r w:rsidR="000B6330">
        <w:rPr>
          <w:rFonts w:cs="Times New Roman"/>
          <w:sz w:val="24"/>
          <w:szCs w:val="24"/>
        </w:rPr>
        <w:t>will</w:t>
      </w:r>
      <w:r w:rsidR="00AD6196">
        <w:rPr>
          <w:rFonts w:cs="Times New Roman"/>
          <w:sz w:val="24"/>
          <w:szCs w:val="24"/>
        </w:rPr>
        <w:t xml:space="preserve"> shared with the Green Mountain Care Board and will be posted on the OneCare website</w:t>
      </w:r>
      <w:r w:rsidR="000B6330">
        <w:rPr>
          <w:rFonts w:cs="Times New Roman"/>
          <w:sz w:val="24"/>
          <w:szCs w:val="24"/>
        </w:rPr>
        <w:t xml:space="preserve"> in the coming weeks</w:t>
      </w:r>
      <w:r w:rsidR="00AD6196">
        <w:rPr>
          <w:rFonts w:cs="Times New Roman"/>
          <w:sz w:val="24"/>
          <w:szCs w:val="24"/>
        </w:rPr>
        <w:t>.</w:t>
      </w:r>
    </w:p>
    <w:p w14:paraId="7B43FD6F" w14:textId="77777777" w:rsidR="002B01B0" w:rsidRPr="00800AFA" w:rsidRDefault="002B01B0" w:rsidP="002B01B0">
      <w:pPr>
        <w:pStyle w:val="ListParagraph"/>
        <w:rPr>
          <w:u w:val="single"/>
        </w:rPr>
      </w:pPr>
    </w:p>
    <w:p w14:paraId="7A5E836E" w14:textId="08F46F28" w:rsidR="002B01B0" w:rsidRPr="002B01B0" w:rsidRDefault="00AD6196" w:rsidP="002B01B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Skilled Nursing Facilities (</w:t>
      </w:r>
      <w:r w:rsidR="002B01B0" w:rsidRPr="002B01B0">
        <w:rPr>
          <w:sz w:val="24"/>
          <w:u w:val="single"/>
        </w:rPr>
        <w:t>SNF</w:t>
      </w:r>
      <w:r>
        <w:rPr>
          <w:sz w:val="24"/>
          <w:u w:val="single"/>
        </w:rPr>
        <w:t>)</w:t>
      </w:r>
      <w:r w:rsidR="002B01B0" w:rsidRPr="002B01B0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Participation </w:t>
      </w:r>
      <w:r w:rsidR="002B01B0" w:rsidRPr="002B01B0">
        <w:rPr>
          <w:sz w:val="24"/>
          <w:u w:val="single"/>
        </w:rPr>
        <w:t>Waiver</w:t>
      </w:r>
    </w:p>
    <w:p w14:paraId="16E519C3" w14:textId="7D5E50CA" w:rsidR="00827D89" w:rsidRPr="00AD6196" w:rsidRDefault="002B01B0" w:rsidP="00AD6196">
      <w:pPr>
        <w:pStyle w:val="ListParagraph"/>
        <w:rPr>
          <w:sz w:val="24"/>
        </w:rPr>
      </w:pPr>
      <w:r>
        <w:rPr>
          <w:sz w:val="24"/>
        </w:rPr>
        <w:t>Dr. Wulfman</w:t>
      </w:r>
      <w:r w:rsidR="00BE74FB">
        <w:rPr>
          <w:sz w:val="24"/>
        </w:rPr>
        <w:t xml:space="preserve"> </w:t>
      </w:r>
      <w:r w:rsidR="00AD6196">
        <w:rPr>
          <w:sz w:val="24"/>
        </w:rPr>
        <w:t xml:space="preserve">proposed that the Board of Managers invoke a </w:t>
      </w:r>
      <w:r w:rsidR="00AD6196" w:rsidRPr="00AD6196">
        <w:rPr>
          <w:sz w:val="24"/>
        </w:rPr>
        <w:t>Participation Waiver for support of clinical</w:t>
      </w:r>
      <w:r w:rsidR="00AD6196">
        <w:rPr>
          <w:sz w:val="24"/>
        </w:rPr>
        <w:t xml:space="preserve"> </w:t>
      </w:r>
      <w:r w:rsidR="00AD6196" w:rsidRPr="00AD6196">
        <w:rPr>
          <w:sz w:val="24"/>
        </w:rPr>
        <w:t>coverage for Skilled Nursing Facilities</w:t>
      </w:r>
      <w:r w:rsidR="00AD6196">
        <w:rPr>
          <w:sz w:val="24"/>
        </w:rPr>
        <w:t xml:space="preserve"> (</w:t>
      </w:r>
      <w:r w:rsidR="00BE74FB" w:rsidRPr="00AD6196">
        <w:rPr>
          <w:sz w:val="24"/>
        </w:rPr>
        <w:t>SNF</w:t>
      </w:r>
      <w:r w:rsidR="00AD6196">
        <w:rPr>
          <w:sz w:val="24"/>
        </w:rPr>
        <w:t>). The</w:t>
      </w:r>
      <w:r w:rsidR="00BE74FB" w:rsidRPr="00AD6196">
        <w:rPr>
          <w:sz w:val="24"/>
        </w:rPr>
        <w:t xml:space="preserve"> waiver </w:t>
      </w:r>
      <w:r w:rsidR="00AD6196">
        <w:rPr>
          <w:sz w:val="24"/>
        </w:rPr>
        <w:t>would allocate</w:t>
      </w:r>
      <w:r w:rsidR="00BE74FB" w:rsidRPr="00AD6196">
        <w:rPr>
          <w:sz w:val="24"/>
        </w:rPr>
        <w:t xml:space="preserve"> </w:t>
      </w:r>
      <w:r w:rsidR="00AD6196">
        <w:rPr>
          <w:sz w:val="24"/>
        </w:rPr>
        <w:t xml:space="preserve">a one-time payment of </w:t>
      </w:r>
      <w:r w:rsidR="00BE74FB" w:rsidRPr="00AD6196">
        <w:rPr>
          <w:sz w:val="24"/>
        </w:rPr>
        <w:t>$200,000 to four Skilled Nursing Facilities</w:t>
      </w:r>
      <w:r w:rsidR="00AD6196" w:rsidRPr="00AD6196">
        <w:rPr>
          <w:sz w:val="24"/>
        </w:rPr>
        <w:t xml:space="preserve"> to increase availability of clinical care in the</w:t>
      </w:r>
      <w:r w:rsidR="00AD6196">
        <w:rPr>
          <w:sz w:val="24"/>
        </w:rPr>
        <w:t xml:space="preserve"> </w:t>
      </w:r>
      <w:r w:rsidR="00AD6196" w:rsidRPr="00AD6196">
        <w:rPr>
          <w:sz w:val="24"/>
        </w:rPr>
        <w:t>facilit</w:t>
      </w:r>
      <w:r w:rsidR="00AD6196">
        <w:rPr>
          <w:sz w:val="24"/>
        </w:rPr>
        <w:t xml:space="preserve">ies. </w:t>
      </w:r>
      <w:r w:rsidR="00BE74FB" w:rsidRPr="00DC1352">
        <w:rPr>
          <w:sz w:val="24"/>
        </w:rPr>
        <w:t xml:space="preserve">. These facilities were identified with the assistance of several outside organizations. With approval of the Board, $50,000 will be provided to each of these facilities to </w:t>
      </w:r>
      <w:r w:rsidR="00AD6196">
        <w:rPr>
          <w:sz w:val="24"/>
        </w:rPr>
        <w:t>provide support in engaging clinical services</w:t>
      </w:r>
      <w:proofErr w:type="gramStart"/>
      <w:r w:rsidR="00AD6196">
        <w:rPr>
          <w:sz w:val="24"/>
        </w:rPr>
        <w:t>.</w:t>
      </w:r>
      <w:r w:rsidR="00BE74FB" w:rsidRPr="00AD6196">
        <w:rPr>
          <w:sz w:val="24"/>
        </w:rPr>
        <w:t>.</w:t>
      </w:r>
      <w:proofErr w:type="gramEnd"/>
      <w:r w:rsidR="00BE74FB" w:rsidRPr="00AD6196">
        <w:rPr>
          <w:sz w:val="24"/>
        </w:rPr>
        <w:t xml:space="preserve"> </w:t>
      </w:r>
    </w:p>
    <w:p w14:paraId="6E19F89F" w14:textId="77777777" w:rsidR="00827D89" w:rsidRDefault="00827D89" w:rsidP="002B01B0">
      <w:pPr>
        <w:pStyle w:val="ListParagraph"/>
        <w:rPr>
          <w:sz w:val="24"/>
        </w:rPr>
      </w:pPr>
    </w:p>
    <w:p w14:paraId="7563E119" w14:textId="4C175A71" w:rsidR="002B01B0" w:rsidRDefault="00AD6196" w:rsidP="00827D89">
      <w:pPr>
        <w:pStyle w:val="ListParagraph"/>
        <w:rPr>
          <w:sz w:val="24"/>
        </w:rPr>
      </w:pPr>
      <w:r>
        <w:rPr>
          <w:sz w:val="24"/>
        </w:rPr>
        <w:t>Two of the selected facilities,</w:t>
      </w:r>
      <w:r w:rsidR="000B6330">
        <w:rPr>
          <w:sz w:val="24"/>
        </w:rPr>
        <w:t xml:space="preserve"> </w:t>
      </w:r>
      <w:r w:rsidR="00827D89">
        <w:rPr>
          <w:sz w:val="24"/>
        </w:rPr>
        <w:t xml:space="preserve">Kingdom </w:t>
      </w:r>
      <w:proofErr w:type="spellStart"/>
      <w:r>
        <w:rPr>
          <w:sz w:val="24"/>
        </w:rPr>
        <w:t>K</w:t>
      </w:r>
      <w:r w:rsidR="00827D89">
        <w:rPr>
          <w:sz w:val="24"/>
        </w:rPr>
        <w:t>are</w:t>
      </w:r>
      <w:proofErr w:type="spellEnd"/>
      <w:r w:rsidR="00827D89">
        <w:rPr>
          <w:sz w:val="24"/>
        </w:rPr>
        <w:t xml:space="preserve"> and Mayo</w:t>
      </w:r>
      <w:r>
        <w:rPr>
          <w:sz w:val="24"/>
        </w:rPr>
        <w:t>, are not OneCare participants, but can still receive</w:t>
      </w:r>
      <w:r w:rsidR="000B6330">
        <w:rPr>
          <w:sz w:val="24"/>
        </w:rPr>
        <w:t xml:space="preserve"> </w:t>
      </w:r>
      <w:r w:rsidR="00827D89">
        <w:rPr>
          <w:sz w:val="24"/>
        </w:rPr>
        <w:t xml:space="preserve">funds with the Board’s approval. </w:t>
      </w:r>
    </w:p>
    <w:p w14:paraId="13BF674F" w14:textId="77777777" w:rsidR="00827D89" w:rsidRDefault="00827D89" w:rsidP="00827D89">
      <w:pPr>
        <w:pStyle w:val="ListParagraph"/>
        <w:rPr>
          <w:sz w:val="24"/>
        </w:rPr>
      </w:pPr>
    </w:p>
    <w:p w14:paraId="30EAF27B" w14:textId="2AA694AA" w:rsidR="00827D89" w:rsidRDefault="00AD6196" w:rsidP="00827D89">
      <w:pPr>
        <w:pStyle w:val="ListParagraph"/>
        <w:rPr>
          <w:sz w:val="24"/>
        </w:rPr>
      </w:pPr>
      <w:r>
        <w:rPr>
          <w:sz w:val="24"/>
        </w:rPr>
        <w:t>Board</w:t>
      </w:r>
      <w:r w:rsidR="000B6330">
        <w:rPr>
          <w:sz w:val="24"/>
        </w:rPr>
        <w:t xml:space="preserve"> </w:t>
      </w:r>
      <w:r w:rsidR="00827D89">
        <w:rPr>
          <w:sz w:val="24"/>
        </w:rPr>
        <w:t xml:space="preserve">members asked how this related to OneCare’s work. </w:t>
      </w:r>
      <w:r w:rsidR="00B81A67">
        <w:rPr>
          <w:sz w:val="24"/>
        </w:rPr>
        <w:t xml:space="preserve">Dr. Wulfman </w:t>
      </w:r>
      <w:r w:rsidR="000B6330">
        <w:rPr>
          <w:sz w:val="24"/>
        </w:rPr>
        <w:t xml:space="preserve">responded </w:t>
      </w:r>
      <w:r w:rsidR="00B81A67">
        <w:rPr>
          <w:sz w:val="24"/>
        </w:rPr>
        <w:t xml:space="preserve">that it helps </w:t>
      </w:r>
      <w:r>
        <w:rPr>
          <w:sz w:val="24"/>
        </w:rPr>
        <w:t>communities</w:t>
      </w:r>
      <w:r w:rsidR="000B6330">
        <w:rPr>
          <w:sz w:val="24"/>
        </w:rPr>
        <w:t xml:space="preserve"> </w:t>
      </w:r>
      <w:r w:rsidR="00B81A67">
        <w:rPr>
          <w:sz w:val="24"/>
        </w:rPr>
        <w:t xml:space="preserve">to get patients to the appropriate </w:t>
      </w:r>
      <w:r>
        <w:rPr>
          <w:sz w:val="24"/>
        </w:rPr>
        <w:t xml:space="preserve">care </w:t>
      </w:r>
      <w:r w:rsidR="00B81A67">
        <w:rPr>
          <w:sz w:val="24"/>
        </w:rPr>
        <w:t xml:space="preserve">settings. Committee members </w:t>
      </w:r>
      <w:r w:rsidR="00045ADA">
        <w:rPr>
          <w:sz w:val="24"/>
        </w:rPr>
        <w:t>inquired about planned</w:t>
      </w:r>
      <w:bookmarkStart w:id="0" w:name="_GoBack"/>
      <w:bookmarkEnd w:id="0"/>
      <w:r w:rsidR="00B81A67">
        <w:rPr>
          <w:sz w:val="24"/>
        </w:rPr>
        <w:t xml:space="preserve"> efforts to measure </w:t>
      </w:r>
      <w:r>
        <w:rPr>
          <w:sz w:val="24"/>
        </w:rPr>
        <w:t>outcomes</w:t>
      </w:r>
      <w:r w:rsidR="000B6330">
        <w:rPr>
          <w:sz w:val="24"/>
        </w:rPr>
        <w:t xml:space="preserve"> and Dr. Wulfman confirmed this will take place</w:t>
      </w:r>
      <w:r w:rsidR="00B81A67">
        <w:rPr>
          <w:sz w:val="24"/>
        </w:rPr>
        <w:t xml:space="preserve">. </w:t>
      </w:r>
    </w:p>
    <w:p w14:paraId="406515AD" w14:textId="77777777" w:rsidR="00827D89" w:rsidRDefault="00827D89" w:rsidP="00827D89">
      <w:pPr>
        <w:pStyle w:val="ListParagraph"/>
        <w:rPr>
          <w:sz w:val="24"/>
        </w:rPr>
      </w:pPr>
    </w:p>
    <w:p w14:paraId="00FD6225" w14:textId="5EA351BF" w:rsidR="00827D89" w:rsidRDefault="00827D89" w:rsidP="00827D89">
      <w:pPr>
        <w:pStyle w:val="ListParagraph"/>
        <w:rPr>
          <w:sz w:val="24"/>
        </w:rPr>
      </w:pPr>
      <w:r w:rsidRPr="006500AB">
        <w:rPr>
          <w:sz w:val="24"/>
        </w:rPr>
        <w:t xml:space="preserve">A Motion to Approve the </w:t>
      </w:r>
      <w:r>
        <w:rPr>
          <w:sz w:val="24"/>
        </w:rPr>
        <w:t xml:space="preserve">Resolution </w:t>
      </w:r>
      <w:r>
        <w:rPr>
          <w:sz w:val="24"/>
        </w:rPr>
        <w:tab/>
      </w:r>
      <w:r w:rsidRPr="00827D89">
        <w:rPr>
          <w:sz w:val="24"/>
        </w:rPr>
        <w:t>Invoking Participatio</w:t>
      </w:r>
      <w:r>
        <w:rPr>
          <w:sz w:val="24"/>
        </w:rPr>
        <w:t xml:space="preserve">n Waiver for Support of </w:t>
      </w:r>
      <w:r w:rsidRPr="00827D89">
        <w:rPr>
          <w:sz w:val="24"/>
        </w:rPr>
        <w:t>Clinical Coverag</w:t>
      </w:r>
      <w:r>
        <w:rPr>
          <w:sz w:val="24"/>
        </w:rPr>
        <w:t xml:space="preserve">e for Network Skilled Nursing </w:t>
      </w:r>
      <w:r w:rsidRPr="00827D89">
        <w:rPr>
          <w:sz w:val="24"/>
        </w:rPr>
        <w:t xml:space="preserve">Facilities </w:t>
      </w:r>
      <w:r w:rsidR="000B6330">
        <w:rPr>
          <w:sz w:val="24"/>
        </w:rPr>
        <w:t xml:space="preserve">with an edit to remove the words “in-network” from the second line of the first paragraph of page three of the resolution </w:t>
      </w:r>
      <w:r w:rsidRPr="006500AB">
        <w:rPr>
          <w:sz w:val="24"/>
        </w:rPr>
        <w:t>was ma</w:t>
      </w:r>
      <w:r w:rsidRPr="009B7931">
        <w:rPr>
          <w:sz w:val="24"/>
        </w:rPr>
        <w:t xml:space="preserve">de by </w:t>
      </w:r>
      <w:r w:rsidR="00B81A67">
        <w:rPr>
          <w:sz w:val="24"/>
        </w:rPr>
        <w:t>J. Gilwee</w:t>
      </w:r>
      <w:r>
        <w:rPr>
          <w:sz w:val="24"/>
        </w:rPr>
        <w:t xml:space="preserve">, </w:t>
      </w:r>
      <w:r w:rsidRPr="009B7931">
        <w:rPr>
          <w:sz w:val="24"/>
        </w:rPr>
        <w:t>seconded</w:t>
      </w:r>
      <w:r w:rsidRPr="006500AB">
        <w:rPr>
          <w:sz w:val="24"/>
        </w:rPr>
        <w:t xml:space="preserve"> </w:t>
      </w:r>
      <w:r>
        <w:rPr>
          <w:sz w:val="24"/>
        </w:rPr>
        <w:t xml:space="preserve">by </w:t>
      </w:r>
      <w:r w:rsidR="00B81A67">
        <w:rPr>
          <w:sz w:val="24"/>
        </w:rPr>
        <w:t>S. May</w:t>
      </w:r>
      <w:r>
        <w:rPr>
          <w:sz w:val="24"/>
        </w:rPr>
        <w:t>,</w:t>
      </w:r>
      <w:r w:rsidRPr="006500AB">
        <w:rPr>
          <w:sz w:val="24"/>
        </w:rPr>
        <w:t xml:space="preserve"> and was approved </w:t>
      </w:r>
      <w:r w:rsidR="00B81A67" w:rsidRPr="00B81A67">
        <w:rPr>
          <w:sz w:val="24"/>
        </w:rPr>
        <w:t>supermajority</w:t>
      </w:r>
      <w:r w:rsidRPr="00B81A67">
        <w:rPr>
          <w:sz w:val="24"/>
        </w:rPr>
        <w:t>.</w:t>
      </w:r>
      <w:r w:rsidR="00B81A67">
        <w:rPr>
          <w:sz w:val="24"/>
        </w:rPr>
        <w:t xml:space="preserve"> C. Condon abstained. </w:t>
      </w:r>
    </w:p>
    <w:p w14:paraId="13AAE62F" w14:textId="77777777" w:rsidR="00827D89" w:rsidRPr="00827D89" w:rsidRDefault="00827D89" w:rsidP="00827D89">
      <w:pPr>
        <w:pStyle w:val="ListParagraph"/>
        <w:rPr>
          <w:sz w:val="24"/>
        </w:rPr>
      </w:pPr>
    </w:p>
    <w:p w14:paraId="1E4D4A28" w14:textId="77777777" w:rsidR="002B01B0" w:rsidRDefault="002B01B0" w:rsidP="002B01B0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2B01B0">
        <w:rPr>
          <w:sz w:val="24"/>
          <w:u w:val="single"/>
        </w:rPr>
        <w:t>Media Updates</w:t>
      </w:r>
    </w:p>
    <w:p w14:paraId="16229E8A" w14:textId="3C2ABFDF" w:rsidR="002B01B0" w:rsidRPr="002B01B0" w:rsidRDefault="002B01B0" w:rsidP="002B01B0">
      <w:pPr>
        <w:pStyle w:val="ListParagraph"/>
        <w:rPr>
          <w:sz w:val="24"/>
        </w:rPr>
      </w:pPr>
      <w:r>
        <w:rPr>
          <w:sz w:val="24"/>
        </w:rPr>
        <w:t>Amy Bodette</w:t>
      </w:r>
      <w:r w:rsidR="00AD6196">
        <w:rPr>
          <w:sz w:val="24"/>
        </w:rPr>
        <w:t>, Director of Public Affairs,</w:t>
      </w:r>
      <w:r w:rsidR="00B81A67">
        <w:rPr>
          <w:sz w:val="24"/>
        </w:rPr>
        <w:t xml:space="preserve"> </w:t>
      </w:r>
      <w:r w:rsidR="00AD6196">
        <w:rPr>
          <w:sz w:val="24"/>
        </w:rPr>
        <w:t>requested that</w:t>
      </w:r>
      <w:r w:rsidR="000B6330">
        <w:rPr>
          <w:sz w:val="24"/>
        </w:rPr>
        <w:t xml:space="preserve"> </w:t>
      </w:r>
      <w:r w:rsidR="00B81A67">
        <w:rPr>
          <w:sz w:val="24"/>
        </w:rPr>
        <w:t xml:space="preserve">the Board to read the Public Affairs Report provided in the Board materials packet. </w:t>
      </w:r>
      <w:r w:rsidR="00AD6196">
        <w:rPr>
          <w:sz w:val="24"/>
        </w:rPr>
        <w:t>Attention was directed to recent coverage by Health Affairs, a recent interview on Vermont Viewpoint, and a blog spotlighting quality work with Green Mountain Pediatrics.</w:t>
      </w:r>
    </w:p>
    <w:p w14:paraId="4928C03A" w14:textId="77777777" w:rsidR="002B01B0" w:rsidRDefault="002B01B0" w:rsidP="002B01B0">
      <w:pPr>
        <w:pStyle w:val="ListParagraph"/>
        <w:rPr>
          <w:sz w:val="24"/>
          <w:u w:val="single"/>
        </w:rPr>
      </w:pPr>
      <w:r w:rsidRPr="002B01B0">
        <w:rPr>
          <w:sz w:val="24"/>
          <w:u w:val="single"/>
        </w:rPr>
        <w:t xml:space="preserve"> </w:t>
      </w:r>
    </w:p>
    <w:p w14:paraId="3B635A15" w14:textId="77777777" w:rsidR="005C2F89" w:rsidRPr="00215D93" w:rsidRDefault="005C2F89" w:rsidP="005C2F89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Governance</w:t>
      </w:r>
    </w:p>
    <w:p w14:paraId="6D83B417" w14:textId="77777777" w:rsidR="005C2F89" w:rsidRDefault="005C2F89" w:rsidP="005C2F89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Nominations to the Board of Managers, Population Health Strategy Committee, and Patient and Family Advisory Committee were presented to the Board. </w:t>
      </w:r>
    </w:p>
    <w:p w14:paraId="70A0B5BD" w14:textId="77777777" w:rsidR="005C2F89" w:rsidRDefault="005C2F89" w:rsidP="005C2F89">
      <w:pPr>
        <w:pStyle w:val="ListParagraph"/>
        <w:rPr>
          <w:rFonts w:eastAsia="Times New Roman" w:cstheme="minorHAnsi"/>
          <w:sz w:val="24"/>
          <w:szCs w:val="24"/>
        </w:rPr>
      </w:pPr>
    </w:p>
    <w:p w14:paraId="6068F657" w14:textId="54237ED9" w:rsidR="005C2F89" w:rsidRDefault="00AD6196" w:rsidP="005C2F89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resolution was presented to c</w:t>
      </w:r>
      <w:r w:rsidR="005C2F89">
        <w:rPr>
          <w:rFonts w:eastAsia="Times New Roman" w:cstheme="minorHAnsi"/>
          <w:sz w:val="24"/>
          <w:szCs w:val="24"/>
        </w:rPr>
        <w:t>onvert a consumer manager to an ad-hoc manager</w:t>
      </w:r>
      <w:r w:rsidR="00DC1352">
        <w:rPr>
          <w:rFonts w:eastAsia="Times New Roman" w:cstheme="minorHAnsi"/>
          <w:sz w:val="24"/>
          <w:szCs w:val="24"/>
        </w:rPr>
        <w:t xml:space="preserve"> </w:t>
      </w:r>
      <w:r w:rsidR="000B6330">
        <w:rPr>
          <w:rFonts w:eastAsia="Times New Roman" w:cstheme="minorHAnsi"/>
          <w:sz w:val="24"/>
          <w:szCs w:val="24"/>
        </w:rPr>
        <w:t>seat.</w:t>
      </w:r>
      <w:r w:rsidR="005C2F89">
        <w:rPr>
          <w:rFonts w:eastAsia="Times New Roman" w:cstheme="minorHAnsi"/>
          <w:sz w:val="24"/>
          <w:szCs w:val="24"/>
        </w:rPr>
        <w:t xml:space="preserve"> </w:t>
      </w:r>
    </w:p>
    <w:p w14:paraId="35BF49FD" w14:textId="77777777" w:rsidR="005C2F89" w:rsidRDefault="005C2F89" w:rsidP="005C2F89">
      <w:pPr>
        <w:pStyle w:val="ListParagraph"/>
        <w:rPr>
          <w:rFonts w:eastAsia="Times New Roman" w:cstheme="minorHAnsi"/>
          <w:sz w:val="24"/>
          <w:szCs w:val="24"/>
        </w:rPr>
      </w:pPr>
    </w:p>
    <w:p w14:paraId="06863559" w14:textId="77777777" w:rsidR="005C2F89" w:rsidRDefault="005C2F89" w:rsidP="005C2F89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An opportunity to separate these motions was given. </w:t>
      </w:r>
    </w:p>
    <w:p w14:paraId="65B940EA" w14:textId="77777777" w:rsidR="005C2F89" w:rsidRDefault="005C2F89" w:rsidP="005C2F89">
      <w:pPr>
        <w:pStyle w:val="ListParagraph"/>
        <w:rPr>
          <w:rFonts w:eastAsia="Times New Roman" w:cstheme="minorHAnsi"/>
          <w:sz w:val="24"/>
          <w:szCs w:val="24"/>
        </w:rPr>
      </w:pPr>
    </w:p>
    <w:p w14:paraId="0EFC49F2" w14:textId="64402115" w:rsidR="005C2F89" w:rsidRDefault="005C2F89" w:rsidP="005C2F89">
      <w:pPr>
        <w:pStyle w:val="ListParagraph"/>
        <w:rPr>
          <w:rFonts w:eastAsia="Times New Roman" w:cstheme="minorHAnsi"/>
          <w:sz w:val="24"/>
          <w:szCs w:val="24"/>
        </w:rPr>
      </w:pPr>
      <w:r w:rsidRPr="00215D93">
        <w:rPr>
          <w:rFonts w:eastAsia="Times New Roman" w:cstheme="minorHAnsi"/>
          <w:sz w:val="24"/>
          <w:szCs w:val="24"/>
        </w:rPr>
        <w:t xml:space="preserve">A Motion to </w:t>
      </w:r>
      <w:r>
        <w:rPr>
          <w:rFonts w:ascii="Calibri" w:hAnsi="Calibri" w:cs="Calibri"/>
          <w:color w:val="000000" w:themeColor="text1"/>
          <w:sz w:val="24"/>
        </w:rPr>
        <w:t>a</w:t>
      </w:r>
      <w:r w:rsidRPr="002B01B0">
        <w:rPr>
          <w:rFonts w:ascii="Calibri" w:hAnsi="Calibri" w:cs="Calibri"/>
          <w:color w:val="000000" w:themeColor="text1"/>
          <w:sz w:val="24"/>
        </w:rPr>
        <w:t xml:space="preserve">pprove </w:t>
      </w:r>
      <w:r>
        <w:rPr>
          <w:rFonts w:ascii="Calibri" w:hAnsi="Calibri" w:cs="Calibri"/>
          <w:color w:val="000000" w:themeColor="text1"/>
          <w:sz w:val="24"/>
        </w:rPr>
        <w:t>the resolution a</w:t>
      </w:r>
      <w:r w:rsidRPr="002B01B0">
        <w:rPr>
          <w:rFonts w:ascii="Calibri" w:hAnsi="Calibri" w:cs="Calibri"/>
          <w:color w:val="000000" w:themeColor="text1"/>
          <w:sz w:val="24"/>
        </w:rPr>
        <w:t xml:space="preserve">ppointing </w:t>
      </w:r>
      <w:r>
        <w:rPr>
          <w:rFonts w:ascii="Calibri" w:hAnsi="Calibri" w:cs="Calibri"/>
          <w:color w:val="000000" w:themeColor="text1"/>
          <w:sz w:val="24"/>
        </w:rPr>
        <w:t xml:space="preserve">Arnie </w:t>
      </w:r>
      <w:proofErr w:type="spellStart"/>
      <w:r>
        <w:rPr>
          <w:rFonts w:ascii="Calibri" w:hAnsi="Calibri" w:cs="Calibri"/>
          <w:color w:val="000000" w:themeColor="text1"/>
          <w:sz w:val="24"/>
        </w:rPr>
        <w:t>Tannen</w:t>
      </w:r>
      <w:proofErr w:type="spellEnd"/>
      <w:r>
        <w:rPr>
          <w:rFonts w:ascii="Calibri" w:hAnsi="Calibri" w:cs="Calibri"/>
          <w:color w:val="000000" w:themeColor="text1"/>
          <w:sz w:val="24"/>
        </w:rPr>
        <w:t xml:space="preserve"> and Jessica Moschella</w:t>
      </w:r>
      <w:r w:rsidRPr="002B01B0">
        <w:rPr>
          <w:rFonts w:ascii="Calibri" w:hAnsi="Calibri" w:cs="Calibri"/>
          <w:color w:val="000000" w:themeColor="text1"/>
          <w:sz w:val="24"/>
        </w:rPr>
        <w:t xml:space="preserve"> to the Board of Managers, </w:t>
      </w:r>
      <w:r>
        <w:rPr>
          <w:rFonts w:ascii="Calibri" w:hAnsi="Calibri" w:cs="Calibri"/>
          <w:color w:val="000000" w:themeColor="text1"/>
          <w:sz w:val="24"/>
        </w:rPr>
        <w:t xml:space="preserve">Amanda Reid, Matthew </w:t>
      </w:r>
      <w:proofErr w:type="spellStart"/>
      <w:r>
        <w:rPr>
          <w:rFonts w:ascii="Calibri" w:hAnsi="Calibri" w:cs="Calibri"/>
          <w:color w:val="000000" w:themeColor="text1"/>
          <w:sz w:val="24"/>
        </w:rPr>
        <w:t>LeFluer</w:t>
      </w:r>
      <w:proofErr w:type="spellEnd"/>
      <w:r>
        <w:rPr>
          <w:rFonts w:ascii="Calibri" w:hAnsi="Calibri" w:cs="Calibri"/>
          <w:color w:val="000000" w:themeColor="text1"/>
          <w:sz w:val="24"/>
        </w:rPr>
        <w:t xml:space="preserve">, and Robert </w:t>
      </w:r>
      <w:proofErr w:type="spellStart"/>
      <w:r>
        <w:rPr>
          <w:rFonts w:ascii="Calibri" w:hAnsi="Calibri" w:cs="Calibri"/>
          <w:color w:val="000000" w:themeColor="text1"/>
          <w:sz w:val="24"/>
        </w:rPr>
        <w:t>Oeser</w:t>
      </w:r>
      <w:proofErr w:type="spellEnd"/>
      <w:r w:rsidRPr="002B01B0">
        <w:rPr>
          <w:rFonts w:ascii="Calibri" w:hAnsi="Calibri" w:cs="Calibri"/>
          <w:color w:val="000000" w:themeColor="text1"/>
          <w:sz w:val="24"/>
        </w:rPr>
        <w:t xml:space="preserve"> to the Patient &amp; Family Advisory Committee</w:t>
      </w:r>
      <w:r>
        <w:rPr>
          <w:rFonts w:ascii="Calibri" w:hAnsi="Calibri" w:cs="Calibri"/>
          <w:color w:val="000000" w:themeColor="text1"/>
          <w:sz w:val="24"/>
        </w:rPr>
        <w:t>,</w:t>
      </w:r>
      <w:r w:rsidRPr="002B01B0">
        <w:rPr>
          <w:rFonts w:ascii="Calibri" w:hAnsi="Calibri" w:cs="Calibri"/>
          <w:color w:val="000000" w:themeColor="text1"/>
          <w:sz w:val="24"/>
        </w:rPr>
        <w:t xml:space="preserve"> and </w:t>
      </w:r>
      <w:r>
        <w:rPr>
          <w:rFonts w:ascii="Calibri" w:hAnsi="Calibri" w:cs="Calibri"/>
          <w:color w:val="000000" w:themeColor="text1"/>
          <w:sz w:val="24"/>
        </w:rPr>
        <w:t xml:space="preserve">Keith Robinson to the </w:t>
      </w:r>
      <w:r w:rsidRPr="002B01B0">
        <w:rPr>
          <w:rFonts w:ascii="Calibri" w:hAnsi="Calibri" w:cs="Calibri"/>
          <w:color w:val="000000" w:themeColor="text1"/>
          <w:sz w:val="24"/>
        </w:rPr>
        <w:t>Population Health Strategy Committee</w:t>
      </w:r>
      <w:r>
        <w:rPr>
          <w:rFonts w:ascii="Calibri" w:hAnsi="Calibri" w:cs="Calibri"/>
          <w:color w:val="000000" w:themeColor="text1"/>
          <w:sz w:val="24"/>
        </w:rPr>
        <w:t>, and c</w:t>
      </w:r>
      <w:r w:rsidRPr="002B01B0">
        <w:rPr>
          <w:rFonts w:ascii="Calibri" w:hAnsi="Calibri" w:cs="Calibri"/>
          <w:color w:val="000000" w:themeColor="text1"/>
          <w:sz w:val="24"/>
        </w:rPr>
        <w:t xml:space="preserve">onverting </w:t>
      </w:r>
      <w:r>
        <w:rPr>
          <w:rFonts w:ascii="Calibri" w:hAnsi="Calibri" w:cs="Calibri"/>
          <w:color w:val="000000" w:themeColor="text1"/>
          <w:sz w:val="24"/>
        </w:rPr>
        <w:t>a c</w:t>
      </w:r>
      <w:r w:rsidRPr="002B01B0">
        <w:rPr>
          <w:rFonts w:ascii="Calibri" w:hAnsi="Calibri" w:cs="Calibri"/>
          <w:color w:val="000000" w:themeColor="text1"/>
          <w:sz w:val="24"/>
        </w:rPr>
        <w:t xml:space="preserve">onsumer </w:t>
      </w:r>
      <w:r>
        <w:rPr>
          <w:rFonts w:ascii="Calibri" w:hAnsi="Calibri" w:cs="Calibri"/>
          <w:color w:val="000000" w:themeColor="text1"/>
          <w:sz w:val="24"/>
        </w:rPr>
        <w:t>manager to ad-hoc m</w:t>
      </w:r>
      <w:r w:rsidRPr="002B01B0">
        <w:rPr>
          <w:rFonts w:ascii="Calibri" w:hAnsi="Calibri" w:cs="Calibri"/>
          <w:color w:val="000000" w:themeColor="text1"/>
          <w:sz w:val="24"/>
        </w:rPr>
        <w:t>anage</w:t>
      </w:r>
      <w:r>
        <w:rPr>
          <w:rFonts w:ascii="Calibri" w:hAnsi="Calibri" w:cs="Calibri"/>
          <w:color w:val="000000" w:themeColor="text1"/>
          <w:sz w:val="24"/>
        </w:rPr>
        <w:t xml:space="preserve">r </w:t>
      </w:r>
      <w:r w:rsidRPr="00215D93">
        <w:rPr>
          <w:rFonts w:eastAsia="Times New Roman" w:cstheme="minorHAnsi"/>
          <w:sz w:val="24"/>
          <w:szCs w:val="24"/>
        </w:rPr>
        <w:t xml:space="preserve">was made by </w:t>
      </w:r>
      <w:r w:rsidR="00B81A67">
        <w:rPr>
          <w:rFonts w:eastAsia="Times New Roman" w:cstheme="minorHAnsi"/>
          <w:sz w:val="24"/>
          <w:szCs w:val="24"/>
        </w:rPr>
        <w:t>T. Fama</w:t>
      </w:r>
      <w:r>
        <w:rPr>
          <w:rFonts w:eastAsia="Times New Roman" w:cstheme="minorHAnsi"/>
          <w:sz w:val="24"/>
          <w:szCs w:val="24"/>
        </w:rPr>
        <w:t>,</w:t>
      </w:r>
      <w:r w:rsidRPr="00215D93">
        <w:rPr>
          <w:rFonts w:eastAsia="Times New Roman" w:cstheme="minorHAnsi"/>
          <w:sz w:val="24"/>
          <w:szCs w:val="24"/>
        </w:rPr>
        <w:t xml:space="preserve"> seconded by </w:t>
      </w:r>
      <w:r w:rsidR="00B81A67">
        <w:rPr>
          <w:rFonts w:eastAsia="Times New Roman" w:cstheme="minorHAnsi"/>
          <w:sz w:val="24"/>
          <w:szCs w:val="24"/>
        </w:rPr>
        <w:t>J. Gilwee</w:t>
      </w:r>
      <w:r>
        <w:rPr>
          <w:rFonts w:eastAsia="Times New Roman" w:cstheme="minorHAnsi"/>
          <w:sz w:val="24"/>
          <w:szCs w:val="24"/>
        </w:rPr>
        <w:t>,</w:t>
      </w:r>
      <w:r w:rsidRPr="00215D93">
        <w:rPr>
          <w:rFonts w:eastAsia="Times New Roman" w:cstheme="minorHAnsi"/>
          <w:sz w:val="24"/>
          <w:szCs w:val="24"/>
        </w:rPr>
        <w:t xml:space="preserve"> and approved by a </w:t>
      </w:r>
      <w:r>
        <w:rPr>
          <w:rFonts w:eastAsia="Times New Roman" w:cstheme="minorHAnsi"/>
          <w:sz w:val="24"/>
          <w:szCs w:val="24"/>
        </w:rPr>
        <w:t>s</w:t>
      </w:r>
      <w:r w:rsidRPr="00215D93">
        <w:rPr>
          <w:rFonts w:eastAsia="Times New Roman" w:cstheme="minorHAnsi"/>
          <w:sz w:val="24"/>
          <w:szCs w:val="24"/>
        </w:rPr>
        <w:t xml:space="preserve">upermajority. </w:t>
      </w:r>
    </w:p>
    <w:p w14:paraId="7FAD82D4" w14:textId="77777777" w:rsidR="005C2F89" w:rsidRPr="002B01B0" w:rsidRDefault="005C2F89" w:rsidP="002B01B0">
      <w:pPr>
        <w:pStyle w:val="ListParagraph"/>
        <w:rPr>
          <w:sz w:val="24"/>
          <w:u w:val="single"/>
        </w:rPr>
      </w:pPr>
    </w:p>
    <w:p w14:paraId="3E810EE1" w14:textId="77777777" w:rsidR="002B01B0" w:rsidRPr="006500AB" w:rsidRDefault="002B01B0" w:rsidP="002B01B0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Public Comment</w:t>
      </w:r>
    </w:p>
    <w:p w14:paraId="78249DFC" w14:textId="77777777" w:rsidR="002B01B0" w:rsidRDefault="002B01B0" w:rsidP="002B01B0">
      <w:pPr>
        <w:pStyle w:val="ListParagraph"/>
        <w:rPr>
          <w:sz w:val="24"/>
        </w:rPr>
      </w:pPr>
      <w:r w:rsidRPr="006500AB">
        <w:rPr>
          <w:sz w:val="24"/>
        </w:rPr>
        <w:t xml:space="preserve">There </w:t>
      </w:r>
      <w:r>
        <w:rPr>
          <w:sz w:val="24"/>
        </w:rPr>
        <w:t>was no public comment.</w:t>
      </w:r>
    </w:p>
    <w:p w14:paraId="2FCDBAFE" w14:textId="77777777" w:rsidR="002B01B0" w:rsidRPr="001102F3" w:rsidRDefault="002B01B0" w:rsidP="002B01B0">
      <w:pPr>
        <w:pStyle w:val="ListParagraph"/>
        <w:rPr>
          <w:sz w:val="24"/>
        </w:rPr>
      </w:pPr>
    </w:p>
    <w:p w14:paraId="028B723A" w14:textId="77777777" w:rsidR="002B01B0" w:rsidRPr="006500AB" w:rsidRDefault="002B01B0" w:rsidP="002B01B0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Move to Executive Session</w:t>
      </w:r>
    </w:p>
    <w:p w14:paraId="3AA9C747" w14:textId="21EA291E" w:rsidR="002B01B0" w:rsidRDefault="002B01B0" w:rsidP="002B01B0">
      <w:pPr>
        <w:pStyle w:val="ListParagraph"/>
        <w:rPr>
          <w:sz w:val="24"/>
        </w:rPr>
      </w:pPr>
      <w:r w:rsidRPr="006500AB">
        <w:rPr>
          <w:sz w:val="24"/>
        </w:rPr>
        <w:t>A Motion to Approve the Resolution to Move to Executive Session was ma</w:t>
      </w:r>
      <w:r w:rsidRPr="009B7931">
        <w:rPr>
          <w:sz w:val="24"/>
        </w:rPr>
        <w:t xml:space="preserve">de by </w:t>
      </w:r>
      <w:r w:rsidR="00205DF5">
        <w:rPr>
          <w:sz w:val="24"/>
        </w:rPr>
        <w:t>J. Sayles</w:t>
      </w:r>
      <w:r>
        <w:rPr>
          <w:sz w:val="24"/>
        </w:rPr>
        <w:t xml:space="preserve">, </w:t>
      </w:r>
      <w:r w:rsidRPr="009B7931">
        <w:rPr>
          <w:sz w:val="24"/>
        </w:rPr>
        <w:t>seconded</w:t>
      </w:r>
      <w:r w:rsidRPr="006500AB">
        <w:rPr>
          <w:sz w:val="24"/>
        </w:rPr>
        <w:t xml:space="preserve"> </w:t>
      </w:r>
      <w:r>
        <w:rPr>
          <w:sz w:val="24"/>
        </w:rPr>
        <w:t xml:space="preserve">by </w:t>
      </w:r>
      <w:r w:rsidR="00205DF5">
        <w:rPr>
          <w:sz w:val="24"/>
        </w:rPr>
        <w:t>C. Condon</w:t>
      </w:r>
      <w:r>
        <w:rPr>
          <w:sz w:val="24"/>
        </w:rPr>
        <w:t>,</w:t>
      </w:r>
      <w:r w:rsidRPr="006500AB">
        <w:rPr>
          <w:sz w:val="24"/>
        </w:rPr>
        <w:t xml:space="preserve"> and was approved by a unanimous vote.</w:t>
      </w:r>
    </w:p>
    <w:p w14:paraId="1E4ECF15" w14:textId="212C0109" w:rsidR="002B01B0" w:rsidRDefault="002B01B0" w:rsidP="002B01B0">
      <w:pPr>
        <w:pStyle w:val="ListParagraph"/>
        <w:rPr>
          <w:sz w:val="24"/>
        </w:rPr>
      </w:pPr>
    </w:p>
    <w:p w14:paraId="30308625" w14:textId="5097050B" w:rsidR="00DC1352" w:rsidRDefault="00DC1352" w:rsidP="002B01B0">
      <w:pPr>
        <w:pStyle w:val="ListParagraph"/>
        <w:rPr>
          <w:sz w:val="24"/>
        </w:rPr>
      </w:pPr>
    </w:p>
    <w:p w14:paraId="4CA95B66" w14:textId="77777777" w:rsidR="00DC1352" w:rsidRDefault="00DC1352" w:rsidP="002B01B0">
      <w:pPr>
        <w:pStyle w:val="ListParagraph"/>
        <w:rPr>
          <w:sz w:val="24"/>
        </w:rPr>
      </w:pPr>
    </w:p>
    <w:p w14:paraId="506B0C67" w14:textId="77777777" w:rsidR="002B01B0" w:rsidRPr="00A621FE" w:rsidRDefault="002B01B0" w:rsidP="002B01B0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lastRenderedPageBreak/>
        <w:t xml:space="preserve">Votes from Executive Session </w:t>
      </w:r>
    </w:p>
    <w:p w14:paraId="35C7B8F7" w14:textId="77777777" w:rsidR="002B01B0" w:rsidRPr="001748FE" w:rsidRDefault="002B01B0" w:rsidP="002B01B0">
      <w:pPr>
        <w:pStyle w:val="Default"/>
        <w:numPr>
          <w:ilvl w:val="0"/>
          <w:numId w:val="2"/>
        </w:numPr>
        <w:rPr>
          <w:b/>
          <w:bCs/>
          <w:szCs w:val="23"/>
        </w:rPr>
      </w:pPr>
      <w:r w:rsidRPr="00D21181">
        <w:rPr>
          <w:szCs w:val="23"/>
        </w:rPr>
        <w:t xml:space="preserve">Approve Executive Session Consent Agenda Items – </w:t>
      </w:r>
      <w:r>
        <w:rPr>
          <w:b/>
          <w:szCs w:val="23"/>
        </w:rPr>
        <w:t>Approved by supermajority</w:t>
      </w:r>
    </w:p>
    <w:p w14:paraId="4A0FA4A3" w14:textId="77777777" w:rsidR="001748FE" w:rsidRDefault="001748FE" w:rsidP="002B01B0">
      <w:pPr>
        <w:pStyle w:val="Default"/>
        <w:numPr>
          <w:ilvl w:val="0"/>
          <w:numId w:val="2"/>
        </w:numPr>
        <w:rPr>
          <w:b/>
          <w:bCs/>
          <w:szCs w:val="23"/>
        </w:rPr>
      </w:pPr>
      <w:r>
        <w:rPr>
          <w:bCs/>
          <w:szCs w:val="23"/>
        </w:rPr>
        <w:t xml:space="preserve">Approve the PY24 Budget – </w:t>
      </w:r>
      <w:r>
        <w:rPr>
          <w:b/>
          <w:bCs/>
          <w:szCs w:val="23"/>
        </w:rPr>
        <w:t>Approved by supermajority</w:t>
      </w:r>
    </w:p>
    <w:p w14:paraId="552BD0F0" w14:textId="77777777" w:rsidR="001748FE" w:rsidRDefault="001748FE" w:rsidP="002B01B0">
      <w:pPr>
        <w:pStyle w:val="Default"/>
        <w:numPr>
          <w:ilvl w:val="0"/>
          <w:numId w:val="2"/>
        </w:numPr>
        <w:rPr>
          <w:b/>
          <w:bCs/>
          <w:szCs w:val="23"/>
        </w:rPr>
      </w:pPr>
      <w:r>
        <w:rPr>
          <w:bCs/>
          <w:szCs w:val="23"/>
        </w:rPr>
        <w:t xml:space="preserve">Approve the Resolution Authorizing Legal Action – </w:t>
      </w:r>
      <w:r>
        <w:rPr>
          <w:b/>
          <w:bCs/>
          <w:szCs w:val="23"/>
        </w:rPr>
        <w:t xml:space="preserve">Approved by supermajority </w:t>
      </w:r>
    </w:p>
    <w:p w14:paraId="0CFB6B38" w14:textId="77777777" w:rsidR="002B01B0" w:rsidRPr="00262A31" w:rsidRDefault="002B01B0" w:rsidP="002B01B0">
      <w:pPr>
        <w:pStyle w:val="Default"/>
        <w:ind w:left="1080"/>
        <w:rPr>
          <w:b/>
          <w:bCs/>
        </w:rPr>
      </w:pPr>
    </w:p>
    <w:p w14:paraId="244D09A1" w14:textId="77777777" w:rsidR="002B01B0" w:rsidRPr="00301976" w:rsidRDefault="002B01B0" w:rsidP="002B01B0">
      <w:pPr>
        <w:pStyle w:val="ListParagraph"/>
        <w:numPr>
          <w:ilvl w:val="0"/>
          <w:numId w:val="1"/>
        </w:numPr>
      </w:pPr>
      <w:r w:rsidRPr="001102F3">
        <w:rPr>
          <w:sz w:val="24"/>
          <w:u w:val="single"/>
        </w:rPr>
        <w:t>Adjournment</w:t>
      </w:r>
    </w:p>
    <w:p w14:paraId="3A772780" w14:textId="1C271C2C" w:rsidR="002B01B0" w:rsidRPr="00301976" w:rsidRDefault="002B01B0" w:rsidP="002B01B0">
      <w:pPr>
        <w:pStyle w:val="ListParagraph"/>
        <w:rPr>
          <w:sz w:val="24"/>
        </w:rPr>
      </w:pPr>
      <w:r>
        <w:rPr>
          <w:sz w:val="24"/>
        </w:rPr>
        <w:t>Upon a Motion, a second, and approval</w:t>
      </w:r>
      <w:r w:rsidRPr="00DE748E">
        <w:rPr>
          <w:sz w:val="24"/>
        </w:rPr>
        <w:t xml:space="preserve"> by a unanimous vote, the meeting adjourned at </w:t>
      </w:r>
      <w:r w:rsidRPr="000A51DC">
        <w:rPr>
          <w:sz w:val="24"/>
        </w:rPr>
        <w:t>6:</w:t>
      </w:r>
      <w:r w:rsidR="000A51DC" w:rsidRPr="000A51DC">
        <w:rPr>
          <w:sz w:val="24"/>
        </w:rPr>
        <w:t>3</w:t>
      </w:r>
      <w:r w:rsidRPr="000A51DC">
        <w:rPr>
          <w:sz w:val="24"/>
        </w:rPr>
        <w:t>3</w:t>
      </w:r>
      <w:r w:rsidRPr="00DE748E">
        <w:rPr>
          <w:sz w:val="24"/>
        </w:rPr>
        <w:t xml:space="preserve"> p.m.</w:t>
      </w:r>
    </w:p>
    <w:p w14:paraId="08333451" w14:textId="77777777" w:rsidR="002B01B0" w:rsidRPr="00343C17" w:rsidRDefault="002B01B0" w:rsidP="002B01B0">
      <w:pPr>
        <w:rPr>
          <w:b/>
          <w:sz w:val="24"/>
        </w:rPr>
      </w:pPr>
      <w:r w:rsidRPr="00343C17">
        <w:rPr>
          <w:b/>
          <w:sz w:val="24"/>
        </w:rPr>
        <w:t>Attendance:</w:t>
      </w:r>
    </w:p>
    <w:p w14:paraId="2F6AC099" w14:textId="77777777" w:rsidR="002B01B0" w:rsidRDefault="002B01B0" w:rsidP="002B01B0">
      <w:pPr>
        <w:rPr>
          <w:sz w:val="24"/>
          <w:u w:val="single"/>
        </w:rPr>
      </w:pPr>
      <w:r>
        <w:rPr>
          <w:sz w:val="24"/>
          <w:u w:val="single"/>
        </w:rPr>
        <w:t>OneCare Board Managers</w:t>
      </w:r>
    </w:p>
    <w:tbl>
      <w:tblPr>
        <w:tblStyle w:val="TableGrid"/>
        <w:tblpPr w:leftFromText="180" w:rightFromText="180" w:vertAnchor="text" w:horzAnchor="margin" w:tblpY="755"/>
        <w:tblW w:w="9355" w:type="dxa"/>
        <w:tblLook w:val="04A0" w:firstRow="1" w:lastRow="0" w:firstColumn="1" w:lastColumn="0" w:noHBand="0" w:noVBand="1"/>
      </w:tblPr>
      <w:tblGrid>
        <w:gridCol w:w="3116"/>
        <w:gridCol w:w="3117"/>
        <w:gridCol w:w="3122"/>
      </w:tblGrid>
      <w:tr w:rsidR="002B01B0" w:rsidRPr="00314E5F" w14:paraId="37C9C655" w14:textId="77777777" w:rsidTr="00DC1352">
        <w:tc>
          <w:tcPr>
            <w:tcW w:w="3116" w:type="dxa"/>
          </w:tcPr>
          <w:p w14:paraId="2D6B77C3" w14:textId="77777777" w:rsidR="002B01B0" w:rsidRPr="00314E5F" w:rsidRDefault="002B01B0" w:rsidP="00DC1352">
            <w:pPr>
              <w:rPr>
                <w:rFonts w:cstheme="minorHAnsi"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Michael Costa</w:t>
            </w:r>
          </w:p>
        </w:tc>
        <w:tc>
          <w:tcPr>
            <w:tcW w:w="3117" w:type="dxa"/>
          </w:tcPr>
          <w:p w14:paraId="0EDE46F0" w14:textId="1255BBD8" w:rsidR="002B01B0" w:rsidRPr="00314E5F" w:rsidRDefault="000A51DC" w:rsidP="00DC1352">
            <w:pPr>
              <w:rPr>
                <w:sz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Sandy Rousse</w:t>
            </w:r>
          </w:p>
        </w:tc>
        <w:tc>
          <w:tcPr>
            <w:tcW w:w="3122" w:type="dxa"/>
          </w:tcPr>
          <w:p w14:paraId="00542987" w14:textId="77777777" w:rsidR="002B01B0" w:rsidRPr="00314E5F" w:rsidRDefault="002B01B0" w:rsidP="00DC1352">
            <w:pPr>
              <w:rPr>
                <w:sz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Sierra Lowell</w:t>
            </w:r>
          </w:p>
        </w:tc>
      </w:tr>
      <w:tr w:rsidR="00314E5F" w:rsidRPr="00314E5F" w14:paraId="318FDB58" w14:textId="77777777" w:rsidTr="00DC1352">
        <w:tc>
          <w:tcPr>
            <w:tcW w:w="3116" w:type="dxa"/>
          </w:tcPr>
          <w:p w14:paraId="52CA7DC0" w14:textId="77777777" w:rsidR="00314E5F" w:rsidRPr="00314E5F" w:rsidRDefault="00314E5F" w:rsidP="00314E5F">
            <w:pPr>
              <w:rPr>
                <w:rFonts w:cstheme="minorHAnsi"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John Sayles</w:t>
            </w:r>
          </w:p>
        </w:tc>
        <w:tc>
          <w:tcPr>
            <w:tcW w:w="3117" w:type="dxa"/>
          </w:tcPr>
          <w:p w14:paraId="3D4712EE" w14:textId="77777777" w:rsidR="00314E5F" w:rsidRPr="00314E5F" w:rsidRDefault="00314E5F" w:rsidP="00314E5F">
            <w:pPr>
              <w:rPr>
                <w:rFonts w:cstheme="minorHAnsi"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Adriane Trout, MD</w:t>
            </w:r>
          </w:p>
        </w:tc>
        <w:tc>
          <w:tcPr>
            <w:tcW w:w="3122" w:type="dxa"/>
          </w:tcPr>
          <w:p w14:paraId="6AAE08AE" w14:textId="1A182AE3" w:rsidR="00314E5F" w:rsidRPr="00314E5F" w:rsidRDefault="00314E5F" w:rsidP="00314E5F">
            <w:pPr>
              <w:rPr>
                <w:rFonts w:cstheme="minorHAnsi"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Teresa Fama, MD</w:t>
            </w:r>
          </w:p>
        </w:tc>
      </w:tr>
    </w:tbl>
    <w:p w14:paraId="76DE9A87" w14:textId="77777777" w:rsidR="002B01B0" w:rsidRPr="00314E5F" w:rsidRDefault="002B01B0" w:rsidP="002B01B0">
      <w:pPr>
        <w:spacing w:after="0"/>
        <w:rPr>
          <w:sz w:val="24"/>
        </w:rPr>
      </w:pPr>
      <w:r w:rsidRPr="00314E5F">
        <w:rPr>
          <w:sz w:val="24"/>
        </w:rPr>
        <w:t xml:space="preserve"> Present: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3133"/>
        <w:gridCol w:w="3120"/>
        <w:gridCol w:w="9"/>
        <w:gridCol w:w="3129"/>
      </w:tblGrid>
      <w:tr w:rsidR="002B01B0" w:rsidRPr="00314E5F" w14:paraId="2BA41C13" w14:textId="77777777" w:rsidTr="001748FE">
        <w:trPr>
          <w:trHeight w:val="289"/>
        </w:trPr>
        <w:tc>
          <w:tcPr>
            <w:tcW w:w="3133" w:type="dxa"/>
          </w:tcPr>
          <w:p w14:paraId="54DB2BE5" w14:textId="2C2E50F4" w:rsidR="002B01B0" w:rsidRPr="00314E5F" w:rsidRDefault="000A51DC" w:rsidP="00DC1352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Stuart May</w:t>
            </w:r>
          </w:p>
        </w:tc>
        <w:tc>
          <w:tcPr>
            <w:tcW w:w="3129" w:type="dxa"/>
            <w:gridSpan w:val="2"/>
          </w:tcPr>
          <w:p w14:paraId="772FDDF5" w14:textId="7D439C76" w:rsidR="002B01B0" w:rsidRPr="00314E5F" w:rsidRDefault="000A51DC" w:rsidP="00DC1352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Bob Bick</w:t>
            </w:r>
          </w:p>
        </w:tc>
        <w:tc>
          <w:tcPr>
            <w:tcW w:w="3129" w:type="dxa"/>
          </w:tcPr>
          <w:p w14:paraId="0263042E" w14:textId="77777777" w:rsidR="002B01B0" w:rsidRPr="00314E5F" w:rsidRDefault="002B01B0" w:rsidP="00DC1352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Toby Sadkin, MD</w:t>
            </w:r>
          </w:p>
        </w:tc>
      </w:tr>
      <w:tr w:rsidR="002B01B0" w:rsidRPr="00314E5F" w14:paraId="1BCCE88C" w14:textId="77777777" w:rsidTr="001748FE">
        <w:trPr>
          <w:trHeight w:val="289"/>
        </w:trPr>
        <w:tc>
          <w:tcPr>
            <w:tcW w:w="3133" w:type="dxa"/>
          </w:tcPr>
          <w:p w14:paraId="51D5C3B2" w14:textId="77777777" w:rsidR="002B01B0" w:rsidRPr="00314E5F" w:rsidRDefault="002B01B0" w:rsidP="00DC1352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Steve LeBlanc</w:t>
            </w:r>
          </w:p>
        </w:tc>
        <w:tc>
          <w:tcPr>
            <w:tcW w:w="3120" w:type="dxa"/>
          </w:tcPr>
          <w:p w14:paraId="10C15663" w14:textId="77777777" w:rsidR="002B01B0" w:rsidRPr="00314E5F" w:rsidRDefault="002B01B0" w:rsidP="00DC1352">
            <w:pPr>
              <w:tabs>
                <w:tab w:val="left" w:pos="0"/>
                <w:tab w:val="left" w:pos="360"/>
                <w:tab w:val="left" w:pos="7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Jen Gilwee, MD</w:t>
            </w:r>
          </w:p>
        </w:tc>
        <w:tc>
          <w:tcPr>
            <w:tcW w:w="3138" w:type="dxa"/>
            <w:gridSpan w:val="2"/>
          </w:tcPr>
          <w:p w14:paraId="641BDBD2" w14:textId="77777777" w:rsidR="002B01B0" w:rsidRPr="00314E5F" w:rsidRDefault="002B01B0" w:rsidP="00DC1352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Judi Fox</w:t>
            </w:r>
          </w:p>
        </w:tc>
      </w:tr>
      <w:tr w:rsidR="002B01B0" w:rsidRPr="00314E5F" w14:paraId="1DFFAB2C" w14:textId="77777777" w:rsidTr="00314E5F">
        <w:trPr>
          <w:trHeight w:val="54"/>
        </w:trPr>
        <w:tc>
          <w:tcPr>
            <w:tcW w:w="3133" w:type="dxa"/>
          </w:tcPr>
          <w:p w14:paraId="1F0213DC" w14:textId="77777777" w:rsidR="002B01B0" w:rsidRPr="00314E5F" w:rsidRDefault="002B01B0" w:rsidP="00DC1352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Coleen Condon</w:t>
            </w:r>
          </w:p>
        </w:tc>
        <w:tc>
          <w:tcPr>
            <w:tcW w:w="3120" w:type="dxa"/>
          </w:tcPr>
          <w:p w14:paraId="2DC09FF6" w14:textId="77777777" w:rsidR="002B01B0" w:rsidRPr="00314E5F" w:rsidRDefault="002B01B0" w:rsidP="00DC1352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Anya Rader Wallack</w:t>
            </w:r>
          </w:p>
        </w:tc>
        <w:tc>
          <w:tcPr>
            <w:tcW w:w="3138" w:type="dxa"/>
            <w:gridSpan w:val="2"/>
          </w:tcPr>
          <w:p w14:paraId="51C56D51" w14:textId="2BEE17A6" w:rsidR="001748FE" w:rsidRPr="00314E5F" w:rsidRDefault="001748FE" w:rsidP="00DC1352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E73CB8" w14:textId="77777777" w:rsidR="002B01B0" w:rsidRDefault="002B01B0" w:rsidP="002B01B0">
      <w:pPr>
        <w:rPr>
          <w:sz w:val="24"/>
        </w:rPr>
      </w:pPr>
    </w:p>
    <w:p w14:paraId="5A1150CF" w14:textId="77777777" w:rsidR="002B01B0" w:rsidRDefault="002B01B0" w:rsidP="002B01B0">
      <w:pPr>
        <w:rPr>
          <w:sz w:val="24"/>
        </w:rPr>
      </w:pPr>
      <w:r>
        <w:rPr>
          <w:sz w:val="24"/>
        </w:rPr>
        <w:t>Absent: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72"/>
        <w:gridCol w:w="3159"/>
        <w:gridCol w:w="3173"/>
      </w:tblGrid>
      <w:tr w:rsidR="000A51DC" w:rsidRPr="00A37FB1" w14:paraId="452D3397" w14:textId="77777777" w:rsidTr="00DC1352">
        <w:tc>
          <w:tcPr>
            <w:tcW w:w="3172" w:type="dxa"/>
          </w:tcPr>
          <w:p w14:paraId="6555F9AD" w14:textId="0D0698D1" w:rsidR="000A51DC" w:rsidRPr="00A37FB1" w:rsidRDefault="000A51DC" w:rsidP="000A51DC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6BE0">
              <w:rPr>
                <w:rFonts w:asciiTheme="minorHAnsi" w:hAnsiTheme="minorHAnsi" w:cstheme="minorHAnsi"/>
                <w:sz w:val="24"/>
                <w:szCs w:val="24"/>
              </w:rPr>
              <w:t>Dan Bennett</w:t>
            </w:r>
          </w:p>
        </w:tc>
        <w:tc>
          <w:tcPr>
            <w:tcW w:w="3159" w:type="dxa"/>
          </w:tcPr>
          <w:p w14:paraId="2E5851F1" w14:textId="5121341C" w:rsidR="000A51DC" w:rsidRDefault="000A51DC" w:rsidP="000A51DC">
            <w:pPr>
              <w:rPr>
                <w:sz w:val="24"/>
              </w:rPr>
            </w:pPr>
            <w:r w:rsidRPr="00CE6BE0">
              <w:rPr>
                <w:rFonts w:asciiTheme="minorHAnsi" w:hAnsiTheme="minorHAnsi" w:cstheme="minorHAnsi"/>
                <w:sz w:val="24"/>
                <w:szCs w:val="24"/>
              </w:rPr>
              <w:t>Shawn Tester</w:t>
            </w:r>
          </w:p>
        </w:tc>
        <w:tc>
          <w:tcPr>
            <w:tcW w:w="3173" w:type="dxa"/>
          </w:tcPr>
          <w:p w14:paraId="0D4C5A34" w14:textId="3ABA0D79" w:rsidR="000A51DC" w:rsidRPr="00A37FB1" w:rsidRDefault="000A51DC" w:rsidP="000A51DC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6BE0">
              <w:rPr>
                <w:rFonts w:asciiTheme="minorHAnsi" w:hAnsiTheme="minorHAnsi" w:cstheme="minorHAnsi"/>
                <w:sz w:val="24"/>
                <w:szCs w:val="24"/>
              </w:rPr>
              <w:t>Tom Dee</w:t>
            </w:r>
          </w:p>
        </w:tc>
      </w:tr>
      <w:tr w:rsidR="00314E5F" w:rsidRPr="00A37FB1" w14:paraId="7B34A6F7" w14:textId="77777777" w:rsidTr="00DC1352">
        <w:tc>
          <w:tcPr>
            <w:tcW w:w="3172" w:type="dxa"/>
          </w:tcPr>
          <w:p w14:paraId="3B82FCA2" w14:textId="2C8077DF" w:rsidR="00314E5F" w:rsidRPr="00CE6BE0" w:rsidRDefault="00314E5F" w:rsidP="000A51DC">
            <w:pPr>
              <w:tabs>
                <w:tab w:val="left" w:pos="0"/>
                <w:tab w:val="left" w:pos="36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CE6BE0">
              <w:rPr>
                <w:rFonts w:asciiTheme="minorHAnsi" w:hAnsiTheme="minorHAnsi" w:cstheme="minorHAnsi"/>
                <w:sz w:val="24"/>
                <w:szCs w:val="24"/>
              </w:rPr>
              <w:t>Tom Huebner</w:t>
            </w:r>
          </w:p>
        </w:tc>
        <w:tc>
          <w:tcPr>
            <w:tcW w:w="3159" w:type="dxa"/>
          </w:tcPr>
          <w:p w14:paraId="2B22A87F" w14:textId="1957078B" w:rsidR="00314E5F" w:rsidRPr="00CE6BE0" w:rsidRDefault="00314E5F" w:rsidP="000A51DC">
            <w:pPr>
              <w:rPr>
                <w:rFonts w:cstheme="minorHAnsi"/>
                <w:sz w:val="24"/>
                <w:szCs w:val="24"/>
              </w:rPr>
            </w:pPr>
            <w:r w:rsidRPr="00262A31">
              <w:rPr>
                <w:rFonts w:asciiTheme="minorHAnsi" w:hAnsiTheme="minorHAnsi" w:cstheme="minorHAnsi"/>
                <w:sz w:val="24"/>
                <w:szCs w:val="24"/>
              </w:rPr>
              <w:t>Leslie Ferrer</w:t>
            </w:r>
          </w:p>
        </w:tc>
        <w:tc>
          <w:tcPr>
            <w:tcW w:w="3173" w:type="dxa"/>
          </w:tcPr>
          <w:p w14:paraId="6BA6DB36" w14:textId="77777777" w:rsidR="00314E5F" w:rsidRPr="00CE6BE0" w:rsidRDefault="00314E5F" w:rsidP="000A51DC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220F242" w14:textId="77777777" w:rsidR="002B01B0" w:rsidRDefault="002B01B0" w:rsidP="002B01B0">
      <w:pPr>
        <w:rPr>
          <w:sz w:val="24"/>
        </w:rPr>
      </w:pPr>
    </w:p>
    <w:p w14:paraId="74FAB5F9" w14:textId="77777777" w:rsidR="002B01B0" w:rsidRDefault="002B01B0" w:rsidP="002B01B0">
      <w:pPr>
        <w:rPr>
          <w:sz w:val="24"/>
        </w:rPr>
      </w:pPr>
      <w:r>
        <w:rPr>
          <w:sz w:val="24"/>
        </w:rPr>
        <w:tab/>
      </w:r>
      <w:r w:rsidR="0059607F">
        <w:rPr>
          <w:sz w:val="24"/>
        </w:rPr>
        <w:t>B. Bick joined the meeting at 4:37</w:t>
      </w:r>
      <w:r>
        <w:rPr>
          <w:sz w:val="24"/>
        </w:rPr>
        <w:t xml:space="preserve"> p.m.</w:t>
      </w:r>
    </w:p>
    <w:p w14:paraId="51241628" w14:textId="70C6323B" w:rsidR="0059607F" w:rsidRDefault="0059607F" w:rsidP="002B01B0">
      <w:pPr>
        <w:rPr>
          <w:sz w:val="24"/>
        </w:rPr>
      </w:pPr>
      <w:r>
        <w:rPr>
          <w:sz w:val="24"/>
        </w:rPr>
        <w:tab/>
        <w:t>S. Lowell joined the meeting at 4:</w:t>
      </w:r>
      <w:r w:rsidR="00BF59F1">
        <w:rPr>
          <w:sz w:val="24"/>
        </w:rPr>
        <w:t xml:space="preserve">43 </w:t>
      </w:r>
      <w:r>
        <w:rPr>
          <w:sz w:val="24"/>
        </w:rPr>
        <w:t>p.m.</w:t>
      </w:r>
    </w:p>
    <w:p w14:paraId="7072CA61" w14:textId="7E81F4BF" w:rsidR="00B81A67" w:rsidRDefault="00B81A67" w:rsidP="002B01B0">
      <w:pPr>
        <w:rPr>
          <w:sz w:val="24"/>
        </w:rPr>
      </w:pPr>
      <w:r>
        <w:rPr>
          <w:sz w:val="24"/>
        </w:rPr>
        <w:tab/>
        <w:t>S. Rousse joined the meeting at 5:</w:t>
      </w:r>
      <w:r w:rsidR="00BF59F1">
        <w:rPr>
          <w:sz w:val="24"/>
        </w:rPr>
        <w:t>32</w:t>
      </w:r>
      <w:r w:rsidR="00DC1352">
        <w:rPr>
          <w:sz w:val="24"/>
        </w:rPr>
        <w:t xml:space="preserve"> </w:t>
      </w:r>
      <w:r>
        <w:rPr>
          <w:sz w:val="24"/>
        </w:rPr>
        <w:t>p.m.</w:t>
      </w:r>
    </w:p>
    <w:p w14:paraId="7ECAE0DF" w14:textId="77777777" w:rsidR="002B01B0" w:rsidRDefault="002B01B0" w:rsidP="002B01B0">
      <w:pPr>
        <w:rPr>
          <w:sz w:val="24"/>
          <w:u w:val="single"/>
        </w:rPr>
      </w:pPr>
      <w:r w:rsidRPr="00343C17">
        <w:rPr>
          <w:sz w:val="24"/>
          <w:u w:val="single"/>
        </w:rPr>
        <w:t>OneCare Risk Strategy Committee</w:t>
      </w:r>
    </w:p>
    <w:p w14:paraId="4821D21B" w14:textId="77777777" w:rsidR="002B01B0" w:rsidRDefault="002B01B0" w:rsidP="002B01B0">
      <w:pPr>
        <w:rPr>
          <w:sz w:val="24"/>
        </w:rPr>
      </w:pPr>
      <w:r>
        <w:rPr>
          <w:sz w:val="24"/>
        </w:rPr>
        <w:t>Absent: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72"/>
        <w:gridCol w:w="3159"/>
        <w:gridCol w:w="3173"/>
      </w:tblGrid>
      <w:tr w:rsidR="002B01B0" w14:paraId="2C280DC1" w14:textId="77777777" w:rsidTr="00DC1352">
        <w:tc>
          <w:tcPr>
            <w:tcW w:w="3172" w:type="dxa"/>
          </w:tcPr>
          <w:p w14:paraId="548642D4" w14:textId="77777777" w:rsidR="002B01B0" w:rsidRPr="00A37FB1" w:rsidRDefault="002B01B0" w:rsidP="00DC1352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 xml:space="preserve">Steve </w:t>
            </w:r>
            <w:proofErr w:type="spellStart"/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Leffler</w:t>
            </w:r>
            <w:proofErr w:type="spellEnd"/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, MD</w:t>
            </w:r>
          </w:p>
        </w:tc>
        <w:tc>
          <w:tcPr>
            <w:tcW w:w="3159" w:type="dxa"/>
          </w:tcPr>
          <w:p w14:paraId="3DBEA3DF" w14:textId="77777777" w:rsidR="002B01B0" w:rsidRPr="00A37FB1" w:rsidRDefault="002B01B0" w:rsidP="00DC1352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55A16838" w14:textId="77777777" w:rsidR="002B01B0" w:rsidRPr="00A37FB1" w:rsidRDefault="002B01B0" w:rsidP="00DC1352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A45DB0" w14:textId="77777777" w:rsidR="002B01B0" w:rsidRPr="00274F7E" w:rsidRDefault="002B01B0" w:rsidP="002B01B0">
      <w:pPr>
        <w:rPr>
          <w:sz w:val="24"/>
        </w:rPr>
      </w:pPr>
    </w:p>
    <w:p w14:paraId="17AAE1BC" w14:textId="77777777" w:rsidR="002B01B0" w:rsidRDefault="002B01B0" w:rsidP="002B01B0">
      <w:pPr>
        <w:rPr>
          <w:sz w:val="24"/>
          <w:u w:val="single"/>
        </w:rPr>
      </w:pPr>
      <w:r w:rsidRPr="006873BC">
        <w:rPr>
          <w:sz w:val="24"/>
          <w:u w:val="single"/>
        </w:rPr>
        <w:t>OneCare Leadership and Staff</w:t>
      </w:r>
    </w:p>
    <w:p w14:paraId="11A2B700" w14:textId="77777777" w:rsidR="002B01B0" w:rsidRPr="00274F7E" w:rsidRDefault="002B01B0" w:rsidP="002B01B0">
      <w:pPr>
        <w:rPr>
          <w:sz w:val="24"/>
        </w:rPr>
      </w:pPr>
      <w:r>
        <w:rPr>
          <w:sz w:val="24"/>
        </w:rPr>
        <w:t>Present: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3242"/>
        <w:gridCol w:w="3235"/>
        <w:gridCol w:w="3243"/>
      </w:tblGrid>
      <w:tr w:rsidR="002B01B0" w:rsidRPr="009600DC" w14:paraId="0ED06980" w14:textId="77777777" w:rsidTr="00DC1352">
        <w:tc>
          <w:tcPr>
            <w:tcW w:w="3242" w:type="dxa"/>
          </w:tcPr>
          <w:p w14:paraId="2A533C57" w14:textId="77777777" w:rsidR="002B01B0" w:rsidRPr="009600DC" w:rsidRDefault="002B01B0" w:rsidP="00DC1352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00DC">
              <w:rPr>
                <w:rFonts w:asciiTheme="minorHAnsi" w:hAnsiTheme="minorHAnsi" w:cstheme="minorHAnsi"/>
                <w:sz w:val="24"/>
                <w:szCs w:val="24"/>
              </w:rPr>
              <w:t>Abe Berman</w:t>
            </w:r>
          </w:p>
        </w:tc>
        <w:tc>
          <w:tcPr>
            <w:tcW w:w="3235" w:type="dxa"/>
          </w:tcPr>
          <w:p w14:paraId="563E9811" w14:textId="77777777" w:rsidR="002B01B0" w:rsidRPr="009600DC" w:rsidRDefault="002B01B0" w:rsidP="00DC1352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00DC">
              <w:rPr>
                <w:rFonts w:asciiTheme="minorHAnsi" w:eastAsia="MS Mincho" w:hAnsiTheme="minorHAnsi" w:cstheme="minorHAnsi"/>
                <w:sz w:val="24"/>
              </w:rPr>
              <w:t>Amy Bodette</w:t>
            </w:r>
          </w:p>
        </w:tc>
        <w:tc>
          <w:tcPr>
            <w:tcW w:w="3243" w:type="dxa"/>
          </w:tcPr>
          <w:p w14:paraId="3A5CA270" w14:textId="77777777" w:rsidR="002B01B0" w:rsidRPr="009600DC" w:rsidRDefault="002B01B0" w:rsidP="00DC1352">
            <w:pPr>
              <w:rPr>
                <w:rFonts w:asciiTheme="minorHAnsi" w:hAnsiTheme="minorHAnsi" w:cstheme="minorHAnsi"/>
                <w:sz w:val="24"/>
              </w:rPr>
            </w:pPr>
            <w:r w:rsidRPr="009600DC">
              <w:rPr>
                <w:rFonts w:asciiTheme="minorHAnsi" w:eastAsia="MS Mincho" w:hAnsiTheme="minorHAnsi" w:cstheme="minorHAnsi"/>
                <w:sz w:val="24"/>
              </w:rPr>
              <w:t>Kellie Hinton</w:t>
            </w:r>
          </w:p>
        </w:tc>
      </w:tr>
      <w:tr w:rsidR="002B01B0" w:rsidRPr="009600DC" w14:paraId="03717A10" w14:textId="77777777" w:rsidTr="00DC1352">
        <w:tc>
          <w:tcPr>
            <w:tcW w:w="3242" w:type="dxa"/>
          </w:tcPr>
          <w:p w14:paraId="6C6BF990" w14:textId="77777777" w:rsidR="002B01B0" w:rsidRPr="009600DC" w:rsidRDefault="002B01B0" w:rsidP="00DC1352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00DC">
              <w:rPr>
                <w:rFonts w:asciiTheme="minorHAnsi" w:hAnsiTheme="minorHAnsi" w:cstheme="minorHAnsi"/>
                <w:sz w:val="24"/>
                <w:szCs w:val="24"/>
              </w:rPr>
              <w:t>Sara Barry</w:t>
            </w:r>
          </w:p>
        </w:tc>
        <w:tc>
          <w:tcPr>
            <w:tcW w:w="3235" w:type="dxa"/>
          </w:tcPr>
          <w:p w14:paraId="0551EDA5" w14:textId="77777777" w:rsidR="002B01B0" w:rsidRPr="009600DC" w:rsidRDefault="002B01B0" w:rsidP="00DC1352">
            <w:pPr>
              <w:tabs>
                <w:tab w:val="left" w:pos="0"/>
                <w:tab w:val="left" w:pos="360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00DC">
              <w:rPr>
                <w:rFonts w:asciiTheme="minorHAnsi" w:eastAsia="MS Mincho" w:hAnsiTheme="minorHAnsi" w:cstheme="minorHAnsi"/>
                <w:sz w:val="24"/>
              </w:rPr>
              <w:t>Aaron Perry</w:t>
            </w:r>
          </w:p>
        </w:tc>
        <w:tc>
          <w:tcPr>
            <w:tcW w:w="3243" w:type="dxa"/>
          </w:tcPr>
          <w:p w14:paraId="33168ECF" w14:textId="77777777" w:rsidR="002B01B0" w:rsidRPr="009600DC" w:rsidRDefault="002B01B0" w:rsidP="00DC13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00DC">
              <w:rPr>
                <w:rFonts w:asciiTheme="minorHAnsi" w:eastAsia="MS Mincho" w:hAnsiTheme="minorHAnsi" w:cstheme="minorHAnsi"/>
                <w:sz w:val="24"/>
              </w:rPr>
              <w:t>Josiah Mueller</w:t>
            </w:r>
          </w:p>
        </w:tc>
      </w:tr>
      <w:tr w:rsidR="002B01B0" w:rsidRPr="009600DC" w14:paraId="68643F95" w14:textId="77777777" w:rsidTr="00DC1352">
        <w:tc>
          <w:tcPr>
            <w:tcW w:w="3242" w:type="dxa"/>
          </w:tcPr>
          <w:p w14:paraId="336469A4" w14:textId="77777777" w:rsidR="002B01B0" w:rsidRPr="009600DC" w:rsidRDefault="002B01B0" w:rsidP="00DC1352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00DC">
              <w:rPr>
                <w:rFonts w:asciiTheme="minorHAnsi" w:eastAsia="MS Mincho" w:hAnsiTheme="minorHAnsi" w:cstheme="minorHAnsi"/>
                <w:sz w:val="24"/>
              </w:rPr>
              <w:lastRenderedPageBreak/>
              <w:t>Greg Daniels</w:t>
            </w:r>
          </w:p>
        </w:tc>
        <w:tc>
          <w:tcPr>
            <w:tcW w:w="3235" w:type="dxa"/>
          </w:tcPr>
          <w:p w14:paraId="2E358A67" w14:textId="77777777" w:rsidR="002B01B0" w:rsidRPr="009600DC" w:rsidRDefault="002B01B0" w:rsidP="00DC1352">
            <w:pPr>
              <w:rPr>
                <w:rFonts w:asciiTheme="minorHAnsi" w:eastAsia="MS Mincho" w:hAnsiTheme="minorHAnsi" w:cstheme="minorHAnsi"/>
                <w:sz w:val="24"/>
              </w:rPr>
            </w:pPr>
            <w:r w:rsidRPr="009600DC">
              <w:rPr>
                <w:rFonts w:asciiTheme="minorHAnsi" w:eastAsia="MS Mincho" w:hAnsiTheme="minorHAnsi" w:cstheme="minorHAnsi"/>
                <w:sz w:val="24"/>
              </w:rPr>
              <w:t>Lucie Garand</w:t>
            </w:r>
          </w:p>
        </w:tc>
        <w:tc>
          <w:tcPr>
            <w:tcW w:w="3243" w:type="dxa"/>
          </w:tcPr>
          <w:p w14:paraId="570B5261" w14:textId="77777777" w:rsidR="005C2F89" w:rsidRPr="009600DC" w:rsidRDefault="002B01B0" w:rsidP="00DC1352">
            <w:pPr>
              <w:tabs>
                <w:tab w:val="left" w:pos="0"/>
                <w:tab w:val="left" w:pos="360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  <w:r w:rsidRPr="009600DC">
              <w:rPr>
                <w:rFonts w:asciiTheme="minorHAnsi" w:eastAsia="MS Mincho" w:hAnsiTheme="minorHAnsi" w:cstheme="minorHAnsi"/>
                <w:sz w:val="24"/>
              </w:rPr>
              <w:t>Tom Borys</w:t>
            </w:r>
          </w:p>
        </w:tc>
      </w:tr>
      <w:tr w:rsidR="005C2F89" w:rsidRPr="009600DC" w14:paraId="19EFF42C" w14:textId="77777777" w:rsidTr="00DC1352">
        <w:tc>
          <w:tcPr>
            <w:tcW w:w="3242" w:type="dxa"/>
          </w:tcPr>
          <w:p w14:paraId="68E829FE" w14:textId="77777777" w:rsidR="005C2F89" w:rsidRPr="009600DC" w:rsidRDefault="005C2F89" w:rsidP="00DC1352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  <w:r w:rsidRPr="009600DC">
              <w:rPr>
                <w:rFonts w:asciiTheme="minorHAnsi" w:eastAsia="MS Mincho" w:hAnsiTheme="minorHAnsi" w:cstheme="minorHAnsi"/>
                <w:sz w:val="24"/>
              </w:rPr>
              <w:t>Carrie Wulfman</w:t>
            </w:r>
          </w:p>
        </w:tc>
        <w:tc>
          <w:tcPr>
            <w:tcW w:w="3235" w:type="dxa"/>
          </w:tcPr>
          <w:p w14:paraId="2D9FE092" w14:textId="77777777" w:rsidR="005C2F89" w:rsidRPr="009600DC" w:rsidRDefault="005C2F89" w:rsidP="00DC1352">
            <w:pPr>
              <w:rPr>
                <w:rFonts w:eastAsia="MS Mincho" w:cstheme="minorHAnsi"/>
                <w:sz w:val="24"/>
              </w:rPr>
            </w:pPr>
          </w:p>
        </w:tc>
        <w:tc>
          <w:tcPr>
            <w:tcW w:w="3243" w:type="dxa"/>
          </w:tcPr>
          <w:p w14:paraId="69771F12" w14:textId="77777777" w:rsidR="005C2F89" w:rsidRPr="009600DC" w:rsidRDefault="005C2F89" w:rsidP="00DC1352">
            <w:pPr>
              <w:tabs>
                <w:tab w:val="left" w:pos="0"/>
                <w:tab w:val="left" w:pos="360"/>
              </w:tabs>
              <w:jc w:val="both"/>
              <w:rPr>
                <w:rFonts w:eastAsia="MS Mincho" w:cstheme="minorHAnsi"/>
                <w:sz w:val="24"/>
              </w:rPr>
            </w:pPr>
          </w:p>
        </w:tc>
      </w:tr>
    </w:tbl>
    <w:p w14:paraId="2576EE6A" w14:textId="77777777" w:rsidR="00DC1352" w:rsidRDefault="00DC1352" w:rsidP="001748FE"/>
    <w:sectPr w:rsidR="00DC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7823"/>
    <w:multiLevelType w:val="hybridMultilevel"/>
    <w:tmpl w:val="C1BE308C"/>
    <w:lvl w:ilvl="0" w:tplc="F5D23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F17163"/>
    <w:multiLevelType w:val="hybridMultilevel"/>
    <w:tmpl w:val="BD2604A4"/>
    <w:lvl w:ilvl="0" w:tplc="057CC9FC">
      <w:start w:val="1"/>
      <w:numFmt w:val="upperRoman"/>
      <w:lvlText w:val="%1."/>
      <w:lvlJc w:val="right"/>
      <w:pPr>
        <w:ind w:left="720" w:hanging="360"/>
      </w:pPr>
    </w:lvl>
    <w:lvl w:ilvl="1" w:tplc="42B8FFB2">
      <w:start w:val="1"/>
      <w:numFmt w:val="lowerLetter"/>
      <w:lvlText w:val="%2."/>
      <w:lvlJc w:val="left"/>
      <w:pPr>
        <w:ind w:left="1440" w:hanging="360"/>
      </w:pPr>
    </w:lvl>
    <w:lvl w:ilvl="2" w:tplc="1E58663A" w:tentative="1">
      <w:start w:val="1"/>
      <w:numFmt w:val="lowerRoman"/>
      <w:lvlText w:val="%3."/>
      <w:lvlJc w:val="right"/>
      <w:pPr>
        <w:ind w:left="2160" w:hanging="180"/>
      </w:pPr>
    </w:lvl>
    <w:lvl w:ilvl="3" w:tplc="189429FC" w:tentative="1">
      <w:start w:val="1"/>
      <w:numFmt w:val="decimal"/>
      <w:lvlText w:val="%4."/>
      <w:lvlJc w:val="left"/>
      <w:pPr>
        <w:ind w:left="2880" w:hanging="360"/>
      </w:pPr>
    </w:lvl>
    <w:lvl w:ilvl="4" w:tplc="1514EAAE" w:tentative="1">
      <w:start w:val="1"/>
      <w:numFmt w:val="lowerLetter"/>
      <w:lvlText w:val="%5."/>
      <w:lvlJc w:val="left"/>
      <w:pPr>
        <w:ind w:left="3600" w:hanging="360"/>
      </w:pPr>
    </w:lvl>
    <w:lvl w:ilvl="5" w:tplc="C0086E00" w:tentative="1">
      <w:start w:val="1"/>
      <w:numFmt w:val="lowerRoman"/>
      <w:lvlText w:val="%6."/>
      <w:lvlJc w:val="right"/>
      <w:pPr>
        <w:ind w:left="4320" w:hanging="180"/>
      </w:pPr>
    </w:lvl>
    <w:lvl w:ilvl="6" w:tplc="6ABADFBC" w:tentative="1">
      <w:start w:val="1"/>
      <w:numFmt w:val="decimal"/>
      <w:lvlText w:val="%7."/>
      <w:lvlJc w:val="left"/>
      <w:pPr>
        <w:ind w:left="5040" w:hanging="360"/>
      </w:pPr>
    </w:lvl>
    <w:lvl w:ilvl="7" w:tplc="B50C0F6E" w:tentative="1">
      <w:start w:val="1"/>
      <w:numFmt w:val="lowerLetter"/>
      <w:lvlText w:val="%8."/>
      <w:lvlJc w:val="left"/>
      <w:pPr>
        <w:ind w:left="5760" w:hanging="360"/>
      </w:pPr>
    </w:lvl>
    <w:lvl w:ilvl="8" w:tplc="5F1AFC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4E"/>
    <w:rsid w:val="00045ADA"/>
    <w:rsid w:val="000A51DC"/>
    <w:rsid w:val="000B6330"/>
    <w:rsid w:val="00153435"/>
    <w:rsid w:val="001748FE"/>
    <w:rsid w:val="00205DF5"/>
    <w:rsid w:val="002B01B0"/>
    <w:rsid w:val="00314E5F"/>
    <w:rsid w:val="003C1523"/>
    <w:rsid w:val="004876DD"/>
    <w:rsid w:val="0059607F"/>
    <w:rsid w:val="005C2A4E"/>
    <w:rsid w:val="005C2F89"/>
    <w:rsid w:val="005E6F29"/>
    <w:rsid w:val="006D2E85"/>
    <w:rsid w:val="00827D89"/>
    <w:rsid w:val="009600DC"/>
    <w:rsid w:val="00A00025"/>
    <w:rsid w:val="00AD6196"/>
    <w:rsid w:val="00B81A67"/>
    <w:rsid w:val="00BE74FB"/>
    <w:rsid w:val="00BF59F1"/>
    <w:rsid w:val="00D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E58882"/>
  <w15:chartTrackingRefBased/>
  <w15:docId w15:val="{3609B9AE-D9AB-4893-8116-5F7F4E2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4E"/>
    <w:pPr>
      <w:ind w:left="720"/>
      <w:contextualSpacing/>
    </w:pPr>
  </w:style>
  <w:style w:type="table" w:styleId="TableGrid">
    <w:name w:val="Table Grid"/>
    <w:basedOn w:val="TableNormal"/>
    <w:rsid w:val="005C2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2A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Kellie</dc:creator>
  <cp:keywords/>
  <dc:description/>
  <cp:lastModifiedBy>Hinton, Kellie</cp:lastModifiedBy>
  <cp:revision>1</cp:revision>
  <dcterms:created xsi:type="dcterms:W3CDTF">2023-09-21T12:04:00Z</dcterms:created>
  <dcterms:modified xsi:type="dcterms:W3CDTF">2023-09-25T17:06:00Z</dcterms:modified>
</cp:coreProperties>
</file>