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2F5" w14:textId="77777777" w:rsidR="0011329C" w:rsidRDefault="0011329C" w:rsidP="0011329C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B8B9724" wp14:editId="45321F2A">
            <wp:extent cx="2722379" cy="759125"/>
            <wp:effectExtent l="0" t="0" r="1905" b="3175"/>
            <wp:docPr id="2" name="Picture 2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0" cy="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4267" w14:textId="77777777" w:rsidR="0011329C" w:rsidRPr="00363E04" w:rsidRDefault="0011329C" w:rsidP="0011329C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14:paraId="6CF55DEE" w14:textId="77777777" w:rsidR="0011329C" w:rsidRPr="00363E04" w:rsidRDefault="0011329C" w:rsidP="0011329C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14:paraId="1C215E9C" w14:textId="0D4BC171" w:rsidR="0011329C" w:rsidRPr="00363E04" w:rsidRDefault="00FD0A22" w:rsidP="0011329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November 14</w:t>
      </w:r>
      <w:r w:rsidR="0011329C">
        <w:rPr>
          <w:b/>
          <w:sz w:val="28"/>
        </w:rPr>
        <w:t>, 2023</w:t>
      </w:r>
    </w:p>
    <w:p w14:paraId="473756EC" w14:textId="77777777" w:rsidR="0011329C" w:rsidRPr="00363E04" w:rsidRDefault="0011329C" w:rsidP="0011329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Public Session </w:t>
      </w:r>
      <w:r w:rsidRPr="00363E04">
        <w:rPr>
          <w:b/>
          <w:sz w:val="28"/>
        </w:rPr>
        <w:t>Minutes</w:t>
      </w:r>
    </w:p>
    <w:p w14:paraId="310E63D1" w14:textId="77777777" w:rsidR="0011329C" w:rsidRDefault="0011329C" w:rsidP="0011329C">
      <w:pPr>
        <w:spacing w:after="0"/>
      </w:pPr>
    </w:p>
    <w:p w14:paraId="101818BA" w14:textId="7169AEEB" w:rsidR="0011329C" w:rsidRPr="00E822D8" w:rsidRDefault="0011329C" w:rsidP="0011329C">
      <w:pPr>
        <w:rPr>
          <w:sz w:val="24"/>
        </w:rPr>
      </w:pPr>
      <w:r w:rsidRPr="00363E04">
        <w:rPr>
          <w:sz w:val="24"/>
        </w:rPr>
        <w:t>A meeting of the Board of Managers of OneCare Vermont Accountable Care Organization, LLC (“OneCare”) was held remotely vi</w:t>
      </w:r>
      <w:r>
        <w:rPr>
          <w:sz w:val="24"/>
        </w:rPr>
        <w:t xml:space="preserve">a video and phone conference on </w:t>
      </w:r>
      <w:r w:rsidR="00FD0A22">
        <w:rPr>
          <w:sz w:val="24"/>
        </w:rPr>
        <w:t>November 14</w:t>
      </w:r>
      <w:r>
        <w:rPr>
          <w:sz w:val="24"/>
        </w:rPr>
        <w:t>, 2023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14:paraId="07795C35" w14:textId="77777777" w:rsidR="0011329C" w:rsidRPr="00363E04" w:rsidRDefault="0011329C" w:rsidP="0011329C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14:paraId="55D31F6A" w14:textId="3F21C4CB" w:rsidR="0011329C" w:rsidRDefault="0011329C" w:rsidP="0011329C">
      <w:pPr>
        <w:pStyle w:val="ListParagraph"/>
        <w:rPr>
          <w:sz w:val="24"/>
        </w:rPr>
      </w:pPr>
      <w:r>
        <w:rPr>
          <w:sz w:val="24"/>
        </w:rPr>
        <w:t xml:space="preserve">Board Chair Anya Rader Wallack called the meeting to </w:t>
      </w:r>
      <w:r w:rsidRPr="00D87D34">
        <w:rPr>
          <w:sz w:val="24"/>
        </w:rPr>
        <w:t xml:space="preserve">order </w:t>
      </w:r>
      <w:r w:rsidRPr="004E78AB">
        <w:rPr>
          <w:sz w:val="24"/>
        </w:rPr>
        <w:t>at 4:</w:t>
      </w:r>
      <w:r w:rsidR="003332D8">
        <w:rPr>
          <w:sz w:val="24"/>
        </w:rPr>
        <w:t>49</w:t>
      </w:r>
      <w:r w:rsidRPr="005C2F89">
        <w:rPr>
          <w:sz w:val="24"/>
        </w:rPr>
        <w:t xml:space="preserve"> p.</w:t>
      </w:r>
      <w:r w:rsidRPr="00BE746C">
        <w:rPr>
          <w:sz w:val="24"/>
        </w:rPr>
        <w:t>m.</w:t>
      </w:r>
      <w:r>
        <w:rPr>
          <w:sz w:val="24"/>
        </w:rPr>
        <w:t xml:space="preserve"> She </w:t>
      </w:r>
      <w:r w:rsidR="00FD0A22">
        <w:rPr>
          <w:sz w:val="24"/>
        </w:rPr>
        <w:t>welcomed the newest board manager, Jessica Moschella, to her first meeting. Chair Wallack also reminded the board that there will be two board meetings in December, on the 21</w:t>
      </w:r>
      <w:r w:rsidR="00FD0A22" w:rsidRPr="00FD0A22">
        <w:rPr>
          <w:sz w:val="24"/>
          <w:vertAlign w:val="superscript"/>
        </w:rPr>
        <w:t>st</w:t>
      </w:r>
      <w:r w:rsidR="00FD0A22">
        <w:rPr>
          <w:sz w:val="24"/>
        </w:rPr>
        <w:t xml:space="preserve"> and 28</w:t>
      </w:r>
      <w:r w:rsidR="00FD0A22" w:rsidRPr="00FD0A22">
        <w:rPr>
          <w:sz w:val="24"/>
          <w:vertAlign w:val="superscript"/>
        </w:rPr>
        <w:t>th</w:t>
      </w:r>
      <w:r w:rsidR="00C629F2">
        <w:rPr>
          <w:sz w:val="24"/>
        </w:rPr>
        <w:t xml:space="preserve"> </w:t>
      </w:r>
      <w:proofErr w:type="gramStart"/>
      <w:r w:rsidR="00C629F2">
        <w:rPr>
          <w:sz w:val="24"/>
        </w:rPr>
        <w:t>in order to</w:t>
      </w:r>
      <w:proofErr w:type="gramEnd"/>
      <w:r w:rsidR="00C629F2">
        <w:rPr>
          <w:sz w:val="24"/>
        </w:rPr>
        <w:t xml:space="preserve"> accommodate end of year business.</w:t>
      </w:r>
      <w:r w:rsidR="00FD0A22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F690E43" w14:textId="77777777" w:rsidR="0011329C" w:rsidRDefault="0011329C" w:rsidP="0011329C">
      <w:pPr>
        <w:pStyle w:val="ListParagraph"/>
        <w:ind w:left="360" w:firstLine="360"/>
        <w:rPr>
          <w:sz w:val="24"/>
        </w:rPr>
      </w:pPr>
    </w:p>
    <w:p w14:paraId="1C54D145" w14:textId="77777777" w:rsidR="0011329C" w:rsidRDefault="0011329C" w:rsidP="0011329C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Welcome Board Managers, Invited Guests, and Members of the Public</w:t>
      </w:r>
    </w:p>
    <w:p w14:paraId="7CED0EFE" w14:textId="77777777" w:rsidR="0011329C" w:rsidRDefault="0011329C" w:rsidP="0011329C">
      <w:pPr>
        <w:pStyle w:val="ListParagraph"/>
        <w:rPr>
          <w:sz w:val="24"/>
        </w:rPr>
      </w:pPr>
      <w:r w:rsidRPr="007630D6">
        <w:rPr>
          <w:sz w:val="24"/>
        </w:rPr>
        <w:t>Chair Wallack welcomed members of the public in attendance and offered the opportunity to introduce themselves.</w:t>
      </w:r>
      <w:r>
        <w:rPr>
          <w:sz w:val="24"/>
        </w:rPr>
        <w:t xml:space="preserve"> </w:t>
      </w:r>
    </w:p>
    <w:p w14:paraId="2D6518B1" w14:textId="77777777" w:rsidR="0011329C" w:rsidRPr="006500AB" w:rsidRDefault="0011329C" w:rsidP="0011329C">
      <w:pPr>
        <w:pStyle w:val="ListParagraph"/>
      </w:pPr>
    </w:p>
    <w:p w14:paraId="1A70FFDE" w14:textId="77777777" w:rsidR="0011329C" w:rsidRPr="004A64B8" w:rsidRDefault="0011329C" w:rsidP="0011329C">
      <w:pPr>
        <w:pStyle w:val="ListParagraph"/>
        <w:numPr>
          <w:ilvl w:val="0"/>
          <w:numId w:val="1"/>
        </w:numPr>
        <w:rPr>
          <w:sz w:val="24"/>
        </w:rPr>
      </w:pPr>
      <w:r w:rsidRPr="004A64B8">
        <w:rPr>
          <w:sz w:val="24"/>
          <w:u w:val="single"/>
        </w:rPr>
        <w:t>Public Consent Agenda Items</w:t>
      </w:r>
    </w:p>
    <w:p w14:paraId="7C1498A6" w14:textId="3A4B7351" w:rsidR="0011329C" w:rsidRDefault="0011329C" w:rsidP="0011329C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The Board reviewed consent agenda items including: (1) </w:t>
      </w:r>
      <w:r>
        <w:rPr>
          <w:rFonts w:ascii="Calibri" w:hAnsi="Calibri" w:cs="Calibri"/>
          <w:color w:val="000000" w:themeColor="text1"/>
          <w:sz w:val="24"/>
          <w:szCs w:val="24"/>
        </w:rPr>
        <w:t>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 Minutes from </w:t>
      </w:r>
      <w:r w:rsidR="00FD0A22">
        <w:rPr>
          <w:rFonts w:ascii="Calibri" w:hAnsi="Calibri" w:cs="Calibri"/>
          <w:color w:val="000000" w:themeColor="text1"/>
          <w:sz w:val="24"/>
          <w:szCs w:val="24"/>
        </w:rPr>
        <w:t>September 19</w:t>
      </w:r>
      <w:r>
        <w:rPr>
          <w:rFonts w:ascii="Calibri" w:hAnsi="Calibri" w:cs="Calibri"/>
          <w:color w:val="000000" w:themeColor="text1"/>
          <w:sz w:val="24"/>
          <w:szCs w:val="24"/>
        </w:rPr>
        <w:t>, 2023; (2) 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 Minutes from </w:t>
      </w:r>
      <w:r w:rsidR="00FD0A22">
        <w:rPr>
          <w:rFonts w:ascii="Calibri" w:hAnsi="Calibri" w:cs="Calibri"/>
          <w:color w:val="000000" w:themeColor="text1"/>
          <w:sz w:val="24"/>
          <w:szCs w:val="24"/>
        </w:rPr>
        <w:t>October 19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2023; (3) Board Committee Reports </w:t>
      </w:r>
      <w:r w:rsidR="00FD0A22">
        <w:rPr>
          <w:rFonts w:ascii="Calibri" w:hAnsi="Calibri" w:cs="Calibri"/>
          <w:color w:val="000000" w:themeColor="text1"/>
          <w:sz w:val="24"/>
          <w:szCs w:val="24"/>
        </w:rPr>
        <w:t>October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2023</w:t>
      </w:r>
      <w:r w:rsidR="00FD0A22">
        <w:rPr>
          <w:rFonts w:ascii="Calibri" w:hAnsi="Calibri" w:cs="Calibri"/>
          <w:color w:val="000000" w:themeColor="text1"/>
          <w:sz w:val="24"/>
          <w:szCs w:val="24"/>
        </w:rPr>
        <w:t xml:space="preserve">; (4) Board Committee Reports November 2023; (5) Q3 CMO Report; (6) Summary of Policy Changes; (7) 04-06 Disbursement Policy; (8) 06-19 Complaints, Grievances, and Appeals for Attributed Lives; (9) 07-03 Privacy; (10) 07-07 Code of Conduct; (11) 07-08 Compliance Communication, Reporting, and Investigation; and (12) 07-09 Security. </w:t>
      </w:r>
    </w:p>
    <w:p w14:paraId="3D311091" w14:textId="77777777" w:rsidR="0011329C" w:rsidRPr="004A64B8" w:rsidRDefault="0011329C" w:rsidP="0011329C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1E5552AF" w14:textId="77777777" w:rsidR="0011329C" w:rsidRDefault="0011329C" w:rsidP="0011329C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An opportunity for discussion was offered. </w:t>
      </w:r>
    </w:p>
    <w:p w14:paraId="4A51CC67" w14:textId="77777777" w:rsidR="0011329C" w:rsidRPr="004A64B8" w:rsidRDefault="0011329C" w:rsidP="0011329C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3F1B7A89" w14:textId="463BC4E9" w:rsidR="0011329C" w:rsidRDefault="0011329C" w:rsidP="0011329C">
      <w:pPr>
        <w:pStyle w:val="ListParagraph"/>
        <w:rPr>
          <w:rFonts w:eastAsia="Times New Roman" w:cstheme="minorHAnsi"/>
          <w:sz w:val="24"/>
          <w:szCs w:val="24"/>
        </w:rPr>
      </w:pPr>
      <w:r w:rsidRPr="00722D28">
        <w:rPr>
          <w:rFonts w:eastAsia="Times New Roman" w:cstheme="minorHAnsi"/>
          <w:sz w:val="24"/>
          <w:szCs w:val="24"/>
        </w:rPr>
        <w:t xml:space="preserve">A Motion to Approve the Consent Agenda Items was made by </w:t>
      </w:r>
      <w:r w:rsidR="00C27588">
        <w:rPr>
          <w:rFonts w:eastAsia="Times New Roman" w:cstheme="minorHAnsi"/>
          <w:sz w:val="24"/>
          <w:szCs w:val="24"/>
        </w:rPr>
        <w:t>J. Gilwee</w:t>
      </w:r>
      <w:r>
        <w:rPr>
          <w:rFonts w:eastAsia="Times New Roman" w:cstheme="minorHAnsi"/>
          <w:sz w:val="24"/>
          <w:szCs w:val="24"/>
        </w:rPr>
        <w:t>, secon</w:t>
      </w:r>
      <w:r w:rsidRPr="001D6CC5">
        <w:rPr>
          <w:rFonts w:eastAsia="Times New Roman" w:cstheme="minorHAnsi"/>
          <w:sz w:val="24"/>
          <w:szCs w:val="24"/>
        </w:rPr>
        <w:t xml:space="preserve">ded by </w:t>
      </w:r>
      <w:r w:rsidR="00C27588">
        <w:rPr>
          <w:rFonts w:eastAsia="Times New Roman" w:cstheme="minorHAnsi"/>
          <w:sz w:val="24"/>
          <w:szCs w:val="24"/>
        </w:rPr>
        <w:t>S. May</w:t>
      </w:r>
      <w:r>
        <w:rPr>
          <w:rFonts w:eastAsia="Times New Roman" w:cstheme="minorHAnsi"/>
          <w:sz w:val="24"/>
          <w:szCs w:val="24"/>
        </w:rPr>
        <w:t>,</w:t>
      </w:r>
      <w:r w:rsidRPr="00722D28">
        <w:rPr>
          <w:rFonts w:eastAsia="Times New Roman" w:cstheme="minorHAnsi"/>
          <w:sz w:val="24"/>
          <w:szCs w:val="24"/>
        </w:rPr>
        <w:t xml:space="preserve"> and</w:t>
      </w:r>
      <w:r>
        <w:rPr>
          <w:rFonts w:eastAsia="Times New Roman" w:cstheme="minorHAnsi"/>
          <w:sz w:val="24"/>
          <w:szCs w:val="24"/>
        </w:rPr>
        <w:t xml:space="preserve"> approved by a majority</w:t>
      </w:r>
      <w:r w:rsidRPr="00D87D34">
        <w:rPr>
          <w:rFonts w:eastAsia="Times New Roman" w:cstheme="minorHAnsi"/>
          <w:sz w:val="24"/>
          <w:szCs w:val="24"/>
        </w:rPr>
        <w:t>.</w:t>
      </w:r>
      <w:r w:rsidRPr="00E72931">
        <w:rPr>
          <w:rFonts w:eastAsia="Times New Roman" w:cstheme="minorHAnsi"/>
          <w:sz w:val="24"/>
          <w:szCs w:val="24"/>
        </w:rPr>
        <w:t xml:space="preserve"> </w:t>
      </w:r>
    </w:p>
    <w:p w14:paraId="1C38C1EC" w14:textId="77777777" w:rsidR="0011329C" w:rsidRPr="005C2F89" w:rsidRDefault="0011329C" w:rsidP="0011329C">
      <w:pPr>
        <w:pStyle w:val="ListParagraph"/>
        <w:rPr>
          <w:rFonts w:eastAsia="Times New Roman" w:cstheme="minorHAnsi"/>
          <w:sz w:val="24"/>
          <w:szCs w:val="24"/>
        </w:rPr>
      </w:pPr>
    </w:p>
    <w:p w14:paraId="487440A4" w14:textId="409B8FB2" w:rsidR="0011329C" w:rsidRPr="002B01B0" w:rsidRDefault="00FD0A22" w:rsidP="001132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Governance</w:t>
      </w:r>
    </w:p>
    <w:p w14:paraId="7B614A97" w14:textId="3DE22849" w:rsidR="00FD0A22" w:rsidRDefault="00FD0A22" w:rsidP="00FD0A2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Nominations to the Board of Managers and Finance Committee were presented to the Board. </w:t>
      </w:r>
    </w:p>
    <w:p w14:paraId="5F50568D" w14:textId="77777777" w:rsidR="00FD0A22" w:rsidRPr="00FD0A22" w:rsidRDefault="00FD0A22" w:rsidP="00FD0A22">
      <w:pPr>
        <w:pStyle w:val="ListParagraph"/>
        <w:rPr>
          <w:rFonts w:eastAsia="Times New Roman" w:cstheme="minorHAnsi"/>
          <w:sz w:val="24"/>
          <w:szCs w:val="24"/>
        </w:rPr>
      </w:pPr>
    </w:p>
    <w:p w14:paraId="296A4E18" w14:textId="67ED0814" w:rsidR="00FD0A22" w:rsidRDefault="00FD0A22" w:rsidP="00FD0A2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An opportunity to separate these resolutions was offered. </w:t>
      </w:r>
    </w:p>
    <w:p w14:paraId="0E663D8E" w14:textId="77777777" w:rsidR="00FD0A22" w:rsidRDefault="00FD0A22" w:rsidP="00FD0A22">
      <w:pPr>
        <w:pStyle w:val="ListParagraph"/>
        <w:rPr>
          <w:rFonts w:eastAsia="Times New Roman" w:cstheme="minorHAnsi"/>
          <w:sz w:val="24"/>
          <w:szCs w:val="24"/>
        </w:rPr>
      </w:pPr>
    </w:p>
    <w:p w14:paraId="5142E54C" w14:textId="643D1862" w:rsidR="0011329C" w:rsidRPr="00FD0A22" w:rsidRDefault="00FD0A22" w:rsidP="00FD0A22">
      <w:pPr>
        <w:pStyle w:val="ListParagraph"/>
        <w:rPr>
          <w:rFonts w:eastAsia="Times New Roman" w:cstheme="minorHAnsi"/>
          <w:sz w:val="24"/>
          <w:szCs w:val="24"/>
        </w:rPr>
      </w:pPr>
      <w:r w:rsidRPr="00215D93">
        <w:rPr>
          <w:rFonts w:eastAsia="Times New Roman" w:cstheme="minorHAnsi"/>
          <w:sz w:val="24"/>
          <w:szCs w:val="24"/>
        </w:rPr>
        <w:t xml:space="preserve">A Motion to </w:t>
      </w:r>
      <w:r>
        <w:rPr>
          <w:rFonts w:ascii="Calibri" w:hAnsi="Calibri" w:cs="Calibri"/>
          <w:color w:val="000000" w:themeColor="text1"/>
          <w:sz w:val="24"/>
        </w:rPr>
        <w:t>a</w:t>
      </w:r>
      <w:r w:rsidRPr="002B01B0">
        <w:rPr>
          <w:rFonts w:ascii="Calibri" w:hAnsi="Calibri" w:cs="Calibri"/>
          <w:color w:val="000000" w:themeColor="text1"/>
          <w:sz w:val="24"/>
        </w:rPr>
        <w:t xml:space="preserve">pprove </w:t>
      </w:r>
      <w:r>
        <w:rPr>
          <w:rFonts w:ascii="Calibri" w:hAnsi="Calibri" w:cs="Calibri"/>
          <w:color w:val="000000" w:themeColor="text1"/>
          <w:sz w:val="24"/>
        </w:rPr>
        <w:t>the resolution a</w:t>
      </w:r>
      <w:r w:rsidRPr="002B01B0">
        <w:rPr>
          <w:rFonts w:ascii="Calibri" w:hAnsi="Calibri" w:cs="Calibri"/>
          <w:color w:val="000000" w:themeColor="text1"/>
          <w:sz w:val="24"/>
        </w:rPr>
        <w:t xml:space="preserve">ppointing </w:t>
      </w:r>
      <w:r>
        <w:rPr>
          <w:rFonts w:ascii="Calibri" w:hAnsi="Calibri" w:cs="Calibri"/>
          <w:color w:val="000000" w:themeColor="text1"/>
          <w:sz w:val="24"/>
        </w:rPr>
        <w:t>Judy Peterson</w:t>
      </w:r>
      <w:r w:rsidRPr="002B01B0">
        <w:rPr>
          <w:rFonts w:ascii="Calibri" w:hAnsi="Calibri" w:cs="Calibri"/>
          <w:color w:val="000000" w:themeColor="text1"/>
          <w:sz w:val="24"/>
        </w:rPr>
        <w:t xml:space="preserve"> to the Board of Managers</w:t>
      </w:r>
      <w:r>
        <w:rPr>
          <w:rFonts w:ascii="Calibri" w:hAnsi="Calibri" w:cs="Calibri"/>
          <w:color w:val="000000" w:themeColor="text1"/>
          <w:sz w:val="24"/>
        </w:rPr>
        <w:t xml:space="preserve"> and Bob Laba to the Finance Committee </w:t>
      </w:r>
      <w:r w:rsidRPr="00215D93">
        <w:rPr>
          <w:rFonts w:eastAsia="Times New Roman" w:cstheme="minorHAnsi"/>
          <w:sz w:val="24"/>
          <w:szCs w:val="24"/>
        </w:rPr>
        <w:t xml:space="preserve">was made by </w:t>
      </w:r>
      <w:r w:rsidR="00C27588">
        <w:rPr>
          <w:rFonts w:eastAsia="Times New Roman" w:cstheme="minorHAnsi"/>
          <w:sz w:val="24"/>
          <w:szCs w:val="24"/>
        </w:rPr>
        <w:t>T. Huebner</w:t>
      </w:r>
      <w:r>
        <w:rPr>
          <w:rFonts w:eastAsia="Times New Roman" w:cstheme="minorHAnsi"/>
          <w:sz w:val="24"/>
          <w:szCs w:val="24"/>
        </w:rPr>
        <w:t>,</w:t>
      </w:r>
      <w:r w:rsidRPr="00215D93">
        <w:rPr>
          <w:rFonts w:eastAsia="Times New Roman" w:cstheme="minorHAnsi"/>
          <w:sz w:val="24"/>
          <w:szCs w:val="24"/>
        </w:rPr>
        <w:t xml:space="preserve"> seconded by </w:t>
      </w:r>
      <w:r w:rsidR="00C27588">
        <w:rPr>
          <w:rFonts w:eastAsia="Times New Roman" w:cstheme="minorHAnsi"/>
          <w:sz w:val="24"/>
          <w:szCs w:val="24"/>
        </w:rPr>
        <w:t>S. LeBlanc</w:t>
      </w:r>
      <w:r>
        <w:rPr>
          <w:rFonts w:eastAsia="Times New Roman" w:cstheme="minorHAnsi"/>
          <w:sz w:val="24"/>
          <w:szCs w:val="24"/>
        </w:rPr>
        <w:t>,</w:t>
      </w:r>
      <w:r w:rsidRPr="00215D93">
        <w:rPr>
          <w:rFonts w:eastAsia="Times New Roman" w:cstheme="minorHAnsi"/>
          <w:sz w:val="24"/>
          <w:szCs w:val="24"/>
        </w:rPr>
        <w:t xml:space="preserve"> and approved by a </w:t>
      </w:r>
      <w:r>
        <w:rPr>
          <w:rFonts w:eastAsia="Times New Roman" w:cstheme="minorHAnsi"/>
          <w:sz w:val="24"/>
          <w:szCs w:val="24"/>
        </w:rPr>
        <w:t>s</w:t>
      </w:r>
      <w:r w:rsidRPr="00215D93">
        <w:rPr>
          <w:rFonts w:eastAsia="Times New Roman" w:cstheme="minorHAnsi"/>
          <w:sz w:val="24"/>
          <w:szCs w:val="24"/>
        </w:rPr>
        <w:t xml:space="preserve">upermajority. </w:t>
      </w:r>
    </w:p>
    <w:p w14:paraId="0E636D67" w14:textId="77777777" w:rsidR="0011329C" w:rsidRPr="00215D93" w:rsidRDefault="0011329C" w:rsidP="0011329C">
      <w:pPr>
        <w:pStyle w:val="ListParagraph"/>
        <w:rPr>
          <w:sz w:val="24"/>
          <w:u w:val="single"/>
        </w:rPr>
      </w:pPr>
    </w:p>
    <w:p w14:paraId="0B8A356F" w14:textId="77777777" w:rsidR="003063F3" w:rsidRPr="003063F3" w:rsidRDefault="003063F3" w:rsidP="003063F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063F3">
        <w:rPr>
          <w:rFonts w:cs="Times New Roman"/>
          <w:sz w:val="24"/>
          <w:szCs w:val="24"/>
          <w:u w:val="single"/>
        </w:rPr>
        <w:t xml:space="preserve">HSA Engagement in Quality Improvement and Health Disparities </w:t>
      </w:r>
    </w:p>
    <w:p w14:paraId="5405F86B" w14:textId="5EB14EFC" w:rsidR="0011329C" w:rsidRPr="002B01B0" w:rsidRDefault="00C27588" w:rsidP="003063F3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Carrie Wulfman, MD</w:t>
      </w:r>
      <w:r w:rsidR="00C629F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Chief Medical Officer,</w:t>
      </w:r>
      <w:r w:rsidR="0011329C">
        <w:rPr>
          <w:rFonts w:cs="Times New Roman"/>
          <w:sz w:val="24"/>
          <w:szCs w:val="24"/>
        </w:rPr>
        <w:t xml:space="preserve"> </w:t>
      </w:r>
      <w:r w:rsidR="00C629F2">
        <w:rPr>
          <w:rFonts w:cs="Times New Roman"/>
          <w:sz w:val="24"/>
          <w:szCs w:val="24"/>
        </w:rPr>
        <w:t xml:space="preserve">described </w:t>
      </w:r>
      <w:r>
        <w:rPr>
          <w:rFonts w:cs="Times New Roman"/>
          <w:sz w:val="24"/>
          <w:szCs w:val="24"/>
        </w:rPr>
        <w:t xml:space="preserve">HSA consultations </w:t>
      </w:r>
      <w:r w:rsidR="000C57AF">
        <w:rPr>
          <w:rFonts w:cs="Times New Roman"/>
          <w:sz w:val="24"/>
          <w:szCs w:val="24"/>
        </w:rPr>
        <w:t xml:space="preserve">conducted this year </w:t>
      </w:r>
      <w:r w:rsidR="00C629F2">
        <w:rPr>
          <w:rFonts w:cs="Times New Roman"/>
          <w:sz w:val="24"/>
          <w:szCs w:val="24"/>
        </w:rPr>
        <w:t>and how health disparities data were shared and utilized by the network</w:t>
      </w:r>
      <w:r>
        <w:rPr>
          <w:rFonts w:cs="Times New Roman"/>
          <w:sz w:val="24"/>
          <w:szCs w:val="24"/>
        </w:rPr>
        <w:t xml:space="preserve">. She </w:t>
      </w:r>
      <w:r w:rsidR="00C629F2">
        <w:rPr>
          <w:rFonts w:cs="Times New Roman"/>
          <w:sz w:val="24"/>
          <w:szCs w:val="24"/>
        </w:rPr>
        <w:t>presented an overview of OneCare’s convening of stakeholders (payers, provider organizations, state government, and practicing providers)</w:t>
      </w:r>
      <w:r>
        <w:rPr>
          <w:rFonts w:cs="Times New Roman"/>
          <w:sz w:val="24"/>
          <w:szCs w:val="24"/>
        </w:rPr>
        <w:t xml:space="preserve"> </w:t>
      </w:r>
      <w:r w:rsidR="00C629F2">
        <w:rPr>
          <w:rFonts w:cs="Times New Roman"/>
          <w:sz w:val="24"/>
          <w:szCs w:val="24"/>
        </w:rPr>
        <w:t xml:space="preserve">around potential alignment towards </w:t>
      </w:r>
      <w:r>
        <w:rPr>
          <w:rFonts w:cs="Times New Roman"/>
          <w:sz w:val="24"/>
          <w:szCs w:val="24"/>
        </w:rPr>
        <w:t>a standardized social determinants of health screening tool</w:t>
      </w:r>
      <w:r w:rsidR="00166A3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She encouraged board managers to contact her if they had any interest in participating in these meetings moving forward. </w:t>
      </w:r>
      <w:r w:rsidR="00C629F2">
        <w:rPr>
          <w:rFonts w:cs="Times New Roman"/>
          <w:sz w:val="24"/>
          <w:szCs w:val="24"/>
        </w:rPr>
        <w:t xml:space="preserve">Dr. Wulfman </w:t>
      </w:r>
      <w:r w:rsidR="00605304">
        <w:rPr>
          <w:rFonts w:cs="Times New Roman"/>
          <w:sz w:val="24"/>
          <w:szCs w:val="24"/>
        </w:rPr>
        <w:t xml:space="preserve">also discussed the importance of the quintuple aim in </w:t>
      </w:r>
      <w:r w:rsidR="00C629F2">
        <w:rPr>
          <w:rFonts w:cs="Times New Roman"/>
          <w:sz w:val="24"/>
          <w:szCs w:val="24"/>
        </w:rPr>
        <w:t>OneCare’s work</w:t>
      </w:r>
      <w:r w:rsidR="00605304">
        <w:rPr>
          <w:rFonts w:cs="Times New Roman"/>
          <w:sz w:val="24"/>
          <w:szCs w:val="24"/>
        </w:rPr>
        <w:t xml:space="preserve">. </w:t>
      </w:r>
    </w:p>
    <w:p w14:paraId="041800C9" w14:textId="77777777" w:rsidR="0011329C" w:rsidRPr="00800AFA" w:rsidRDefault="0011329C" w:rsidP="0011329C">
      <w:pPr>
        <w:pStyle w:val="ListParagraph"/>
        <w:rPr>
          <w:u w:val="single"/>
        </w:rPr>
      </w:pPr>
    </w:p>
    <w:p w14:paraId="27E2BF51" w14:textId="2E4F9F13" w:rsidR="0011329C" w:rsidRPr="003063F3" w:rsidRDefault="003063F3" w:rsidP="0011329C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063F3">
        <w:rPr>
          <w:sz w:val="24"/>
          <w:u w:val="single"/>
        </w:rPr>
        <w:t>2022 Program Financial Performance Review</w:t>
      </w:r>
    </w:p>
    <w:p w14:paraId="0884A02D" w14:textId="1E697F8C" w:rsidR="00166A32" w:rsidRDefault="0011329C" w:rsidP="003063F3">
      <w:pPr>
        <w:pStyle w:val="ListParagraph"/>
        <w:rPr>
          <w:sz w:val="24"/>
        </w:rPr>
      </w:pPr>
      <w:r>
        <w:rPr>
          <w:sz w:val="24"/>
        </w:rPr>
        <w:t>D</w:t>
      </w:r>
      <w:r w:rsidR="003063F3">
        <w:rPr>
          <w:sz w:val="24"/>
        </w:rPr>
        <w:t xml:space="preserve">erek Raynes, Director of Payment Reform, </w:t>
      </w:r>
      <w:r w:rsidR="00C629F2">
        <w:rPr>
          <w:sz w:val="24"/>
        </w:rPr>
        <w:t xml:space="preserve">provided an analysis of </w:t>
      </w:r>
      <w:r w:rsidR="00605304">
        <w:rPr>
          <w:sz w:val="24"/>
        </w:rPr>
        <w:t xml:space="preserve">Medicaid performance in 2022 and 2023. In 2022, OneCare beat the fee-for-service target by $9.8M, driven by $13M in savings for adult attributed lives. For the performance by service, total cost of care savings </w:t>
      </w:r>
      <w:proofErr w:type="gramStart"/>
      <w:r w:rsidR="00605304">
        <w:rPr>
          <w:sz w:val="24"/>
        </w:rPr>
        <w:t>were</w:t>
      </w:r>
      <w:proofErr w:type="gramEnd"/>
      <w:r w:rsidR="00605304">
        <w:rPr>
          <w:sz w:val="24"/>
        </w:rPr>
        <w:t xml:space="preserve"> achieved because the growth in spend from PY21 to PY22 was less than the projected utilization and price growth used to set the target. </w:t>
      </w:r>
      <w:r w:rsidR="00C629F2">
        <w:rPr>
          <w:sz w:val="24"/>
        </w:rPr>
        <w:t xml:space="preserve">Mr. Raynes reviewed contributors to spend and described </w:t>
      </w:r>
      <w:proofErr w:type="gramStart"/>
      <w:r w:rsidR="00C629F2">
        <w:rPr>
          <w:sz w:val="24"/>
        </w:rPr>
        <w:t xml:space="preserve">changes  </w:t>
      </w:r>
      <w:r w:rsidR="00723DB5">
        <w:rPr>
          <w:sz w:val="24"/>
        </w:rPr>
        <w:t>from</w:t>
      </w:r>
      <w:proofErr w:type="gramEnd"/>
      <w:r w:rsidR="00723DB5">
        <w:rPr>
          <w:sz w:val="24"/>
        </w:rPr>
        <w:t xml:space="preserve"> 2022 to 2023. </w:t>
      </w:r>
      <w:r w:rsidR="00C629F2">
        <w:rPr>
          <w:sz w:val="24"/>
        </w:rPr>
        <w:t xml:space="preserve">He described several next steps including investigation </w:t>
      </w:r>
      <w:r w:rsidR="00166A32">
        <w:rPr>
          <w:sz w:val="24"/>
        </w:rPr>
        <w:t xml:space="preserve">of </w:t>
      </w:r>
      <w:r w:rsidR="00C629F2">
        <w:rPr>
          <w:sz w:val="24"/>
        </w:rPr>
        <w:t xml:space="preserve">high-growth areas, consideration of target-setting approach for pediatric attributed lives, and ongoing network data support. Board discussion considered the impact of access, pent up demand, and acuity on potential future spend trends. </w:t>
      </w:r>
    </w:p>
    <w:p w14:paraId="39B6CC4F" w14:textId="77777777" w:rsidR="003063F3" w:rsidRPr="003063F3" w:rsidRDefault="003063F3" w:rsidP="00166A32">
      <w:pPr>
        <w:pStyle w:val="ListParagraph"/>
      </w:pPr>
    </w:p>
    <w:p w14:paraId="55F30BC2" w14:textId="77777777" w:rsidR="0011329C" w:rsidRPr="006500AB" w:rsidRDefault="0011329C" w:rsidP="0011329C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Public Comment</w:t>
      </w:r>
    </w:p>
    <w:p w14:paraId="6816EC23" w14:textId="77777777" w:rsidR="0011329C" w:rsidRDefault="0011329C" w:rsidP="0011329C">
      <w:pPr>
        <w:pStyle w:val="ListParagraph"/>
        <w:rPr>
          <w:sz w:val="24"/>
        </w:rPr>
      </w:pPr>
      <w:r w:rsidRPr="006500AB">
        <w:rPr>
          <w:sz w:val="24"/>
        </w:rPr>
        <w:t xml:space="preserve">There </w:t>
      </w:r>
      <w:r>
        <w:rPr>
          <w:sz w:val="24"/>
        </w:rPr>
        <w:t>was no public comment.</w:t>
      </w:r>
    </w:p>
    <w:p w14:paraId="526DF2AD" w14:textId="77777777" w:rsidR="0011329C" w:rsidRPr="001102F3" w:rsidRDefault="0011329C" w:rsidP="0011329C">
      <w:pPr>
        <w:pStyle w:val="ListParagraph"/>
        <w:rPr>
          <w:sz w:val="24"/>
        </w:rPr>
      </w:pPr>
    </w:p>
    <w:p w14:paraId="5F03A944" w14:textId="77777777" w:rsidR="0011329C" w:rsidRPr="006500AB" w:rsidRDefault="0011329C" w:rsidP="0011329C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Move to Executive Session</w:t>
      </w:r>
    </w:p>
    <w:p w14:paraId="2A818E6A" w14:textId="1C34C4B3" w:rsidR="0011329C" w:rsidRDefault="0011329C" w:rsidP="0011329C">
      <w:pPr>
        <w:pStyle w:val="ListParagraph"/>
        <w:rPr>
          <w:sz w:val="24"/>
        </w:rPr>
      </w:pPr>
      <w:r w:rsidRPr="006500AB">
        <w:rPr>
          <w:sz w:val="24"/>
        </w:rPr>
        <w:t>A Motion to Approve the Resolution to Move to Executive Session was ma</w:t>
      </w:r>
      <w:r w:rsidRPr="009B7931">
        <w:rPr>
          <w:sz w:val="24"/>
        </w:rPr>
        <w:t xml:space="preserve">de by </w:t>
      </w:r>
      <w:r w:rsidR="00F370BB">
        <w:rPr>
          <w:sz w:val="24"/>
        </w:rPr>
        <w:t>S. Tester,</w:t>
      </w:r>
      <w:r>
        <w:rPr>
          <w:sz w:val="24"/>
        </w:rPr>
        <w:t xml:space="preserve"> </w:t>
      </w:r>
      <w:r w:rsidRPr="009B7931">
        <w:rPr>
          <w:sz w:val="24"/>
        </w:rPr>
        <w:t>seconded</w:t>
      </w:r>
      <w:r w:rsidRPr="006500AB">
        <w:rPr>
          <w:sz w:val="24"/>
        </w:rPr>
        <w:t xml:space="preserve"> </w:t>
      </w:r>
      <w:r>
        <w:rPr>
          <w:sz w:val="24"/>
        </w:rPr>
        <w:t xml:space="preserve">by </w:t>
      </w:r>
      <w:r w:rsidR="00F370BB">
        <w:rPr>
          <w:sz w:val="24"/>
        </w:rPr>
        <w:t>S. May</w:t>
      </w:r>
      <w:r>
        <w:rPr>
          <w:sz w:val="24"/>
        </w:rPr>
        <w:t>,</w:t>
      </w:r>
      <w:r w:rsidRPr="006500AB">
        <w:rPr>
          <w:sz w:val="24"/>
        </w:rPr>
        <w:t xml:space="preserve"> and was approved by a unanimous vote.</w:t>
      </w:r>
    </w:p>
    <w:p w14:paraId="0C3B14DC" w14:textId="77777777" w:rsidR="0011329C" w:rsidRDefault="0011329C" w:rsidP="0011329C">
      <w:pPr>
        <w:pStyle w:val="ListParagraph"/>
        <w:rPr>
          <w:sz w:val="24"/>
        </w:rPr>
      </w:pPr>
    </w:p>
    <w:p w14:paraId="519BE834" w14:textId="77777777" w:rsidR="0011329C" w:rsidRPr="00A621FE" w:rsidRDefault="0011329C" w:rsidP="0011329C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Votes from Executive Session </w:t>
      </w:r>
    </w:p>
    <w:p w14:paraId="6527FA24" w14:textId="2D7DE8AC" w:rsidR="0011329C" w:rsidRPr="001748FE" w:rsidRDefault="0011329C" w:rsidP="0011329C">
      <w:pPr>
        <w:pStyle w:val="Default"/>
        <w:numPr>
          <w:ilvl w:val="0"/>
          <w:numId w:val="2"/>
        </w:numPr>
        <w:rPr>
          <w:b/>
          <w:bCs/>
          <w:szCs w:val="23"/>
        </w:rPr>
      </w:pPr>
      <w:r w:rsidRPr="00D21181">
        <w:rPr>
          <w:szCs w:val="23"/>
        </w:rPr>
        <w:t xml:space="preserve">Approve Executive Session Consent Agenda Items – </w:t>
      </w:r>
      <w:r>
        <w:rPr>
          <w:b/>
          <w:szCs w:val="23"/>
        </w:rPr>
        <w:t>Approved by supermajority</w:t>
      </w:r>
      <w:r w:rsidR="00166A32">
        <w:rPr>
          <w:b/>
          <w:szCs w:val="23"/>
        </w:rPr>
        <w:t xml:space="preserve"> via email.</w:t>
      </w:r>
    </w:p>
    <w:p w14:paraId="49B41C75" w14:textId="67E666E3" w:rsidR="0011329C" w:rsidRDefault="003063F3" w:rsidP="0011329C">
      <w:pPr>
        <w:pStyle w:val="Default"/>
        <w:numPr>
          <w:ilvl w:val="0"/>
          <w:numId w:val="2"/>
        </w:numPr>
        <w:rPr>
          <w:b/>
          <w:bCs/>
          <w:szCs w:val="23"/>
        </w:rPr>
      </w:pPr>
      <w:r>
        <w:rPr>
          <w:rFonts w:eastAsia="Times New Roman"/>
          <w:iCs/>
        </w:rPr>
        <w:t xml:space="preserve">Approve </w:t>
      </w:r>
      <w:r w:rsidRPr="00594A7B">
        <w:rPr>
          <w:rFonts w:eastAsia="Times New Roman"/>
          <w:iCs/>
        </w:rPr>
        <w:t xml:space="preserve">2023 OneCare Corporate Goal Performance </w:t>
      </w:r>
      <w:r w:rsidR="0011329C">
        <w:rPr>
          <w:bCs/>
          <w:szCs w:val="23"/>
        </w:rPr>
        <w:t xml:space="preserve">– </w:t>
      </w:r>
      <w:r w:rsidR="00166A32">
        <w:rPr>
          <w:b/>
          <w:szCs w:val="23"/>
        </w:rPr>
        <w:t>Approved by supermajority via email.</w:t>
      </w:r>
    </w:p>
    <w:p w14:paraId="6FBFAD9A" w14:textId="0D060A81" w:rsidR="0018756E" w:rsidRPr="0018756E" w:rsidRDefault="003063F3" w:rsidP="0011329C">
      <w:pPr>
        <w:pStyle w:val="Default"/>
        <w:numPr>
          <w:ilvl w:val="0"/>
          <w:numId w:val="2"/>
        </w:numPr>
        <w:rPr>
          <w:b/>
          <w:bCs/>
          <w:szCs w:val="23"/>
        </w:rPr>
      </w:pPr>
      <w:r>
        <w:rPr>
          <w:rFonts w:eastAsia="Times New Roman"/>
          <w:iCs/>
        </w:rPr>
        <w:t>Approve Medicare</w:t>
      </w:r>
      <w:r w:rsidR="0018756E">
        <w:rPr>
          <w:rFonts w:eastAsia="Times New Roman"/>
          <w:iCs/>
        </w:rPr>
        <w:t xml:space="preserve"> term sheet – </w:t>
      </w:r>
      <w:r w:rsidR="00166A32">
        <w:rPr>
          <w:b/>
          <w:szCs w:val="23"/>
        </w:rPr>
        <w:t>Approved by supermajority via email.</w:t>
      </w:r>
    </w:p>
    <w:p w14:paraId="22A5FBDA" w14:textId="3BCDA9E4" w:rsidR="0018756E" w:rsidRPr="0018756E" w:rsidRDefault="0018756E" w:rsidP="0011329C">
      <w:pPr>
        <w:pStyle w:val="Default"/>
        <w:numPr>
          <w:ilvl w:val="0"/>
          <w:numId w:val="2"/>
        </w:numPr>
        <w:rPr>
          <w:b/>
          <w:bCs/>
          <w:szCs w:val="23"/>
        </w:rPr>
      </w:pPr>
      <w:r>
        <w:rPr>
          <w:rFonts w:eastAsia="Times New Roman"/>
          <w:iCs/>
        </w:rPr>
        <w:lastRenderedPageBreak/>
        <w:t xml:space="preserve">Approve </w:t>
      </w:r>
      <w:r w:rsidR="003063F3">
        <w:rPr>
          <w:rFonts w:eastAsia="Times New Roman"/>
          <w:iCs/>
        </w:rPr>
        <w:t>Medicaid</w:t>
      </w:r>
      <w:r>
        <w:rPr>
          <w:rFonts w:eastAsia="Times New Roman"/>
          <w:iCs/>
        </w:rPr>
        <w:t xml:space="preserve"> term sheet – </w:t>
      </w:r>
      <w:r w:rsidR="00166A32">
        <w:rPr>
          <w:b/>
          <w:szCs w:val="23"/>
        </w:rPr>
        <w:t>Approved by supermajority via email.</w:t>
      </w:r>
    </w:p>
    <w:p w14:paraId="1DB48521" w14:textId="5BFB5E0D" w:rsidR="0011329C" w:rsidRDefault="0018756E" w:rsidP="0011329C">
      <w:pPr>
        <w:pStyle w:val="Default"/>
        <w:numPr>
          <w:ilvl w:val="0"/>
          <w:numId w:val="2"/>
        </w:numPr>
        <w:rPr>
          <w:b/>
          <w:bCs/>
          <w:szCs w:val="23"/>
        </w:rPr>
      </w:pPr>
      <w:r>
        <w:rPr>
          <w:rFonts w:eastAsia="Times New Roman"/>
          <w:iCs/>
        </w:rPr>
        <w:t xml:space="preserve">Approve </w:t>
      </w:r>
      <w:r w:rsidR="003063F3">
        <w:rPr>
          <w:rFonts w:eastAsia="Times New Roman"/>
          <w:iCs/>
        </w:rPr>
        <w:t xml:space="preserve">Self-Funded Term Sheets </w:t>
      </w:r>
      <w:r w:rsidR="0011329C">
        <w:rPr>
          <w:bCs/>
          <w:szCs w:val="23"/>
        </w:rPr>
        <w:t xml:space="preserve">– </w:t>
      </w:r>
      <w:r w:rsidR="00166A32">
        <w:rPr>
          <w:b/>
          <w:szCs w:val="23"/>
        </w:rPr>
        <w:t>Approved by supermajority via email.</w:t>
      </w:r>
      <w:r w:rsidR="00166A32">
        <w:rPr>
          <w:b/>
          <w:szCs w:val="23"/>
        </w:rPr>
        <w:t xml:space="preserve"> </w:t>
      </w:r>
      <w:r>
        <w:rPr>
          <w:rFonts w:asciiTheme="minorHAnsi" w:hAnsiTheme="minorHAnsi" w:cstheme="minorHAnsi"/>
          <w:color w:val="auto"/>
        </w:rPr>
        <w:t>Jessica Moschella abstained.</w:t>
      </w:r>
    </w:p>
    <w:p w14:paraId="3164078D" w14:textId="77777777" w:rsidR="0011329C" w:rsidRPr="00262A31" w:rsidRDefault="0011329C" w:rsidP="0011329C">
      <w:pPr>
        <w:pStyle w:val="Default"/>
        <w:ind w:left="1080"/>
        <w:rPr>
          <w:b/>
          <w:bCs/>
        </w:rPr>
      </w:pPr>
    </w:p>
    <w:p w14:paraId="6582676A" w14:textId="77777777" w:rsidR="0011329C" w:rsidRPr="00301976" w:rsidRDefault="0011329C" w:rsidP="0011329C">
      <w:pPr>
        <w:pStyle w:val="ListParagraph"/>
        <w:numPr>
          <w:ilvl w:val="0"/>
          <w:numId w:val="1"/>
        </w:numPr>
      </w:pPr>
      <w:r w:rsidRPr="001102F3">
        <w:rPr>
          <w:sz w:val="24"/>
          <w:u w:val="single"/>
        </w:rPr>
        <w:t>Adjournment</w:t>
      </w:r>
    </w:p>
    <w:p w14:paraId="56C63A61" w14:textId="1430A616" w:rsidR="0011329C" w:rsidRPr="00301976" w:rsidRDefault="0011329C" w:rsidP="0011329C">
      <w:pPr>
        <w:pStyle w:val="ListParagraph"/>
        <w:rPr>
          <w:sz w:val="24"/>
        </w:rPr>
      </w:pPr>
      <w:r>
        <w:rPr>
          <w:sz w:val="24"/>
        </w:rPr>
        <w:t>Upon a Motion, a second, and approval</w:t>
      </w:r>
      <w:r w:rsidRPr="00DE748E">
        <w:rPr>
          <w:sz w:val="24"/>
        </w:rPr>
        <w:t xml:space="preserve"> by a unanimous vote, the meeting adjourned at </w:t>
      </w:r>
      <w:r w:rsidRPr="00166A32">
        <w:rPr>
          <w:sz w:val="24"/>
        </w:rPr>
        <w:t>6:</w:t>
      </w:r>
      <w:r w:rsidR="00C629F2">
        <w:rPr>
          <w:sz w:val="24"/>
        </w:rPr>
        <w:t>47</w:t>
      </w:r>
      <w:r w:rsidR="00C629F2" w:rsidRPr="00DE748E">
        <w:rPr>
          <w:sz w:val="24"/>
        </w:rPr>
        <w:t xml:space="preserve"> </w:t>
      </w:r>
      <w:r w:rsidRPr="00DE748E">
        <w:rPr>
          <w:sz w:val="24"/>
        </w:rPr>
        <w:t>p.m.</w:t>
      </w:r>
    </w:p>
    <w:p w14:paraId="0DBA7229" w14:textId="77777777" w:rsidR="0011329C" w:rsidRPr="00343C17" w:rsidRDefault="0011329C" w:rsidP="0011329C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14:paraId="44BA36FB" w14:textId="77777777" w:rsidR="0011329C" w:rsidRDefault="0011329C" w:rsidP="0011329C">
      <w:pPr>
        <w:rPr>
          <w:sz w:val="24"/>
          <w:u w:val="single"/>
        </w:rPr>
      </w:pPr>
      <w:r>
        <w:rPr>
          <w:sz w:val="24"/>
          <w:u w:val="single"/>
        </w:rPr>
        <w:t>OneCare Board Managers</w:t>
      </w:r>
    </w:p>
    <w:tbl>
      <w:tblPr>
        <w:tblStyle w:val="TableGrid"/>
        <w:tblpPr w:leftFromText="180" w:rightFromText="180" w:vertAnchor="text" w:horzAnchor="margin" w:tblpY="755"/>
        <w:tblW w:w="9355" w:type="dxa"/>
        <w:tblLook w:val="04A0" w:firstRow="1" w:lastRow="0" w:firstColumn="1" w:lastColumn="0" w:noHBand="0" w:noVBand="1"/>
      </w:tblPr>
      <w:tblGrid>
        <w:gridCol w:w="3116"/>
        <w:gridCol w:w="3117"/>
        <w:gridCol w:w="3122"/>
      </w:tblGrid>
      <w:tr w:rsidR="0011329C" w:rsidRPr="001971AA" w14:paraId="20F8D72C" w14:textId="77777777" w:rsidTr="00D95D93">
        <w:tc>
          <w:tcPr>
            <w:tcW w:w="3116" w:type="dxa"/>
          </w:tcPr>
          <w:p w14:paraId="36DC1BD8" w14:textId="0CBEFD56" w:rsidR="0011329C" w:rsidRPr="001971AA" w:rsidRDefault="001971AA" w:rsidP="00D95D93">
            <w:pPr>
              <w:rPr>
                <w:rFonts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Jessica Moschella</w:t>
            </w:r>
          </w:p>
        </w:tc>
        <w:tc>
          <w:tcPr>
            <w:tcW w:w="3117" w:type="dxa"/>
          </w:tcPr>
          <w:p w14:paraId="3524ED15" w14:textId="77777777" w:rsidR="0011329C" w:rsidRPr="001971AA" w:rsidRDefault="0011329C" w:rsidP="00D95D93">
            <w:pPr>
              <w:rPr>
                <w:sz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Sandy Rousse</w:t>
            </w:r>
          </w:p>
        </w:tc>
        <w:tc>
          <w:tcPr>
            <w:tcW w:w="3122" w:type="dxa"/>
          </w:tcPr>
          <w:p w14:paraId="64A820A2" w14:textId="13491D5A" w:rsidR="0011329C" w:rsidRPr="001971AA" w:rsidRDefault="001971AA" w:rsidP="00D95D93">
            <w:pPr>
              <w:rPr>
                <w:sz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Tom Dee</w:t>
            </w:r>
          </w:p>
        </w:tc>
      </w:tr>
      <w:tr w:rsidR="0011329C" w:rsidRPr="001971AA" w14:paraId="6C0D38E6" w14:textId="77777777" w:rsidTr="00D95D93">
        <w:tc>
          <w:tcPr>
            <w:tcW w:w="3116" w:type="dxa"/>
          </w:tcPr>
          <w:p w14:paraId="0563712E" w14:textId="22E7C667" w:rsidR="0011329C" w:rsidRPr="001971AA" w:rsidRDefault="00AC02DA" w:rsidP="00D95D93">
            <w:pPr>
              <w:rPr>
                <w:rFonts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Coleen Condon</w:t>
            </w:r>
          </w:p>
        </w:tc>
        <w:tc>
          <w:tcPr>
            <w:tcW w:w="3117" w:type="dxa"/>
          </w:tcPr>
          <w:p w14:paraId="52F99C0B" w14:textId="77777777" w:rsidR="0011329C" w:rsidRPr="001971AA" w:rsidRDefault="0011329C" w:rsidP="00D95D93">
            <w:pPr>
              <w:rPr>
                <w:rFonts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Adriane Trout, MD</w:t>
            </w:r>
          </w:p>
        </w:tc>
        <w:tc>
          <w:tcPr>
            <w:tcW w:w="3122" w:type="dxa"/>
          </w:tcPr>
          <w:p w14:paraId="4CE443E3" w14:textId="77777777" w:rsidR="0011329C" w:rsidRPr="001971AA" w:rsidRDefault="0011329C" w:rsidP="00D95D93">
            <w:pPr>
              <w:rPr>
                <w:rFonts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Teresa Fama, MD</w:t>
            </w:r>
          </w:p>
        </w:tc>
      </w:tr>
    </w:tbl>
    <w:p w14:paraId="524CBCCD" w14:textId="77777777" w:rsidR="0011329C" w:rsidRPr="001971AA" w:rsidRDefault="0011329C" w:rsidP="0011329C">
      <w:pPr>
        <w:spacing w:after="0"/>
        <w:rPr>
          <w:sz w:val="24"/>
        </w:rPr>
      </w:pPr>
      <w:r w:rsidRPr="001971AA">
        <w:rPr>
          <w:sz w:val="24"/>
        </w:rPr>
        <w:t xml:space="preserve"> Present: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133"/>
        <w:gridCol w:w="3120"/>
        <w:gridCol w:w="9"/>
        <w:gridCol w:w="3129"/>
      </w:tblGrid>
      <w:tr w:rsidR="0011329C" w:rsidRPr="001971AA" w14:paraId="3B84C235" w14:textId="77777777" w:rsidTr="00D95D93">
        <w:trPr>
          <w:trHeight w:val="289"/>
        </w:trPr>
        <w:tc>
          <w:tcPr>
            <w:tcW w:w="3133" w:type="dxa"/>
          </w:tcPr>
          <w:p w14:paraId="64F3D804" w14:textId="77777777" w:rsidR="0011329C" w:rsidRPr="001971AA" w:rsidRDefault="0011329C" w:rsidP="00D95D9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Stuart May</w:t>
            </w:r>
          </w:p>
        </w:tc>
        <w:tc>
          <w:tcPr>
            <w:tcW w:w="3129" w:type="dxa"/>
            <w:gridSpan w:val="2"/>
          </w:tcPr>
          <w:p w14:paraId="79B2FF98" w14:textId="33D3FE2E" w:rsidR="0011329C" w:rsidRPr="001971AA" w:rsidRDefault="001971AA" w:rsidP="00D95D9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  <w:tc>
          <w:tcPr>
            <w:tcW w:w="3129" w:type="dxa"/>
          </w:tcPr>
          <w:p w14:paraId="63046ADE" w14:textId="77777777" w:rsidR="0011329C" w:rsidRPr="001971AA" w:rsidRDefault="0011329C" w:rsidP="00D95D9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Toby Sadkin, MD</w:t>
            </w:r>
          </w:p>
        </w:tc>
      </w:tr>
      <w:tr w:rsidR="0011329C" w:rsidRPr="001971AA" w14:paraId="410B13AB" w14:textId="77777777" w:rsidTr="00D95D93">
        <w:trPr>
          <w:trHeight w:val="289"/>
        </w:trPr>
        <w:tc>
          <w:tcPr>
            <w:tcW w:w="3133" w:type="dxa"/>
          </w:tcPr>
          <w:p w14:paraId="6F1B32E2" w14:textId="77777777" w:rsidR="0011329C" w:rsidRPr="001971AA" w:rsidRDefault="0011329C" w:rsidP="00D95D9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Steve LeBlanc</w:t>
            </w:r>
          </w:p>
        </w:tc>
        <w:tc>
          <w:tcPr>
            <w:tcW w:w="3120" w:type="dxa"/>
          </w:tcPr>
          <w:p w14:paraId="017BFAD2" w14:textId="77777777" w:rsidR="0011329C" w:rsidRPr="001971AA" w:rsidRDefault="0011329C" w:rsidP="00D95D93">
            <w:pPr>
              <w:tabs>
                <w:tab w:val="left" w:pos="0"/>
                <w:tab w:val="left" w:pos="360"/>
                <w:tab w:val="left" w:pos="7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Jen Gilwee, MD</w:t>
            </w:r>
          </w:p>
        </w:tc>
        <w:tc>
          <w:tcPr>
            <w:tcW w:w="3138" w:type="dxa"/>
            <w:gridSpan w:val="2"/>
          </w:tcPr>
          <w:p w14:paraId="0C52015D" w14:textId="77777777" w:rsidR="0011329C" w:rsidRPr="001971AA" w:rsidRDefault="0011329C" w:rsidP="00D95D9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Judi Fox</w:t>
            </w:r>
          </w:p>
        </w:tc>
      </w:tr>
      <w:tr w:rsidR="0011329C" w:rsidRPr="001971AA" w14:paraId="3F69AB0A" w14:textId="77777777" w:rsidTr="00D95D93">
        <w:trPr>
          <w:trHeight w:val="54"/>
        </w:trPr>
        <w:tc>
          <w:tcPr>
            <w:tcW w:w="3133" w:type="dxa"/>
          </w:tcPr>
          <w:p w14:paraId="60FE6604" w14:textId="3CE58520" w:rsidR="0011329C" w:rsidRPr="001971AA" w:rsidRDefault="00AC02DA" w:rsidP="00D95D9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  <w:tc>
          <w:tcPr>
            <w:tcW w:w="3120" w:type="dxa"/>
          </w:tcPr>
          <w:p w14:paraId="1A9C9659" w14:textId="77777777" w:rsidR="0011329C" w:rsidRPr="001971AA" w:rsidRDefault="0011329C" w:rsidP="00D95D9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71AA"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  <w:tc>
          <w:tcPr>
            <w:tcW w:w="3138" w:type="dxa"/>
            <w:gridSpan w:val="2"/>
          </w:tcPr>
          <w:p w14:paraId="0440A795" w14:textId="694C2FA6" w:rsidR="0011329C" w:rsidRPr="001971AA" w:rsidRDefault="001971AA" w:rsidP="00D95D9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Dan Bennett</w:t>
            </w:r>
          </w:p>
        </w:tc>
      </w:tr>
    </w:tbl>
    <w:p w14:paraId="53D3630B" w14:textId="77777777" w:rsidR="0011329C" w:rsidRDefault="0011329C" w:rsidP="0011329C">
      <w:pPr>
        <w:rPr>
          <w:sz w:val="24"/>
        </w:rPr>
      </w:pPr>
    </w:p>
    <w:p w14:paraId="6F8B709D" w14:textId="77777777" w:rsidR="0011329C" w:rsidRDefault="0011329C" w:rsidP="0011329C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1971AA" w:rsidRPr="00A37FB1" w14:paraId="6BE103D2" w14:textId="77777777" w:rsidTr="00D95D93">
        <w:tc>
          <w:tcPr>
            <w:tcW w:w="3172" w:type="dxa"/>
          </w:tcPr>
          <w:p w14:paraId="536C2C26" w14:textId="2BF24F80" w:rsidR="001971AA" w:rsidRPr="00A37FB1" w:rsidRDefault="001971AA" w:rsidP="001971AA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A31">
              <w:rPr>
                <w:rFonts w:asciiTheme="minorHAnsi" w:hAnsiTheme="minorHAnsi" w:cstheme="minorHAnsi"/>
                <w:sz w:val="24"/>
                <w:szCs w:val="24"/>
              </w:rPr>
              <w:t>Leslie Ferrer</w:t>
            </w:r>
          </w:p>
        </w:tc>
        <w:tc>
          <w:tcPr>
            <w:tcW w:w="3159" w:type="dxa"/>
          </w:tcPr>
          <w:p w14:paraId="77E6840B" w14:textId="5ABCDDAB" w:rsidR="001971AA" w:rsidRPr="00605304" w:rsidRDefault="001971AA" w:rsidP="001971AA">
            <w:pPr>
              <w:rPr>
                <w:b/>
                <w:bCs/>
                <w:sz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Sierra Lowell</w:t>
            </w:r>
          </w:p>
        </w:tc>
        <w:tc>
          <w:tcPr>
            <w:tcW w:w="3173" w:type="dxa"/>
          </w:tcPr>
          <w:p w14:paraId="61649CD2" w14:textId="0E560B9A" w:rsidR="001971AA" w:rsidRPr="00AC02DA" w:rsidRDefault="001971AA" w:rsidP="001971AA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Michael Costa</w:t>
            </w:r>
          </w:p>
        </w:tc>
      </w:tr>
      <w:tr w:rsidR="001971AA" w:rsidRPr="00A37FB1" w14:paraId="7A2FD276" w14:textId="77777777" w:rsidTr="00D95D93">
        <w:tc>
          <w:tcPr>
            <w:tcW w:w="3172" w:type="dxa"/>
          </w:tcPr>
          <w:p w14:paraId="325C7FD5" w14:textId="41AD53BD" w:rsidR="001971AA" w:rsidRPr="00AC02DA" w:rsidRDefault="001971AA" w:rsidP="001971AA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14E5F">
              <w:rPr>
                <w:rFonts w:asciiTheme="minorHAnsi" w:hAnsiTheme="minorHAnsi" w:cstheme="minorHAnsi"/>
                <w:sz w:val="24"/>
                <w:szCs w:val="24"/>
              </w:rPr>
              <w:t>Bob Bick</w:t>
            </w:r>
          </w:p>
        </w:tc>
        <w:tc>
          <w:tcPr>
            <w:tcW w:w="3159" w:type="dxa"/>
          </w:tcPr>
          <w:p w14:paraId="21A0E1A0" w14:textId="04E6F930" w:rsidR="001971AA" w:rsidRPr="00CE6BE0" w:rsidRDefault="001971AA" w:rsidP="001971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3FC8966" w14:textId="77777777" w:rsidR="001971AA" w:rsidRPr="00CE6BE0" w:rsidRDefault="001971AA" w:rsidP="001971AA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7A9F2DA" w14:textId="77777777" w:rsidR="0011329C" w:rsidRDefault="0011329C" w:rsidP="0011329C">
      <w:pPr>
        <w:rPr>
          <w:sz w:val="24"/>
        </w:rPr>
      </w:pPr>
    </w:p>
    <w:p w14:paraId="0ACAE704" w14:textId="04E2D143" w:rsidR="00C27588" w:rsidRDefault="00C27588" w:rsidP="00C27588">
      <w:pPr>
        <w:ind w:firstLine="720"/>
        <w:rPr>
          <w:sz w:val="24"/>
        </w:rPr>
      </w:pPr>
      <w:r>
        <w:rPr>
          <w:sz w:val="24"/>
        </w:rPr>
        <w:t>S. Tester joined the meeting at 4:55 p.m.</w:t>
      </w:r>
    </w:p>
    <w:p w14:paraId="14956557" w14:textId="1A6AA1CE" w:rsidR="00AC02DA" w:rsidRDefault="00AC02DA" w:rsidP="00AC02DA">
      <w:pPr>
        <w:ind w:firstLine="720"/>
        <w:rPr>
          <w:sz w:val="24"/>
        </w:rPr>
      </w:pPr>
      <w:r>
        <w:rPr>
          <w:sz w:val="24"/>
        </w:rPr>
        <w:t>T. Fama joined the meeting at 5:0</w:t>
      </w:r>
      <w:r w:rsidR="00605304">
        <w:rPr>
          <w:sz w:val="24"/>
        </w:rPr>
        <w:t>5</w:t>
      </w:r>
      <w:r>
        <w:rPr>
          <w:sz w:val="24"/>
        </w:rPr>
        <w:t xml:space="preserve"> p.m.</w:t>
      </w:r>
    </w:p>
    <w:p w14:paraId="763D1D5E" w14:textId="69ACB48B" w:rsidR="00AC02DA" w:rsidRDefault="003808DA" w:rsidP="001971AA">
      <w:pPr>
        <w:ind w:firstLine="720"/>
        <w:rPr>
          <w:sz w:val="24"/>
        </w:rPr>
      </w:pPr>
      <w:r>
        <w:rPr>
          <w:sz w:val="24"/>
        </w:rPr>
        <w:t>D. Bennet joined the meeting at 5:45 p.m.</w:t>
      </w:r>
      <w:r w:rsidR="00AC02DA">
        <w:rPr>
          <w:sz w:val="24"/>
        </w:rPr>
        <w:t xml:space="preserve"> </w:t>
      </w:r>
    </w:p>
    <w:p w14:paraId="1B9724C9" w14:textId="5C41721A" w:rsidR="00AC02DA" w:rsidRDefault="00AC02DA" w:rsidP="00AC02DA">
      <w:pPr>
        <w:ind w:firstLine="720"/>
        <w:rPr>
          <w:sz w:val="24"/>
        </w:rPr>
      </w:pPr>
      <w:r>
        <w:rPr>
          <w:sz w:val="24"/>
        </w:rPr>
        <w:t>S. Rousse left the meeting at 6:0</w:t>
      </w:r>
      <w:r w:rsidR="001971AA">
        <w:rPr>
          <w:sz w:val="24"/>
        </w:rPr>
        <w:t>4</w:t>
      </w:r>
      <w:r>
        <w:rPr>
          <w:sz w:val="24"/>
        </w:rPr>
        <w:t xml:space="preserve"> p.m.</w:t>
      </w:r>
    </w:p>
    <w:p w14:paraId="0A6ED083" w14:textId="77777777" w:rsidR="0011329C" w:rsidRDefault="0011329C" w:rsidP="0011329C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p w14:paraId="5841E537" w14:textId="77777777" w:rsidR="0011329C" w:rsidRDefault="0011329C" w:rsidP="0011329C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11329C" w14:paraId="012EB731" w14:textId="77777777" w:rsidTr="00D95D93">
        <w:tc>
          <w:tcPr>
            <w:tcW w:w="3172" w:type="dxa"/>
          </w:tcPr>
          <w:p w14:paraId="73034E96" w14:textId="77777777" w:rsidR="0011329C" w:rsidRPr="00A37FB1" w:rsidRDefault="0011329C" w:rsidP="00D95D9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Steve Leffler, MD</w:t>
            </w:r>
          </w:p>
        </w:tc>
        <w:tc>
          <w:tcPr>
            <w:tcW w:w="3159" w:type="dxa"/>
          </w:tcPr>
          <w:p w14:paraId="60EAC800" w14:textId="77777777" w:rsidR="0011329C" w:rsidRPr="00A37FB1" w:rsidRDefault="0011329C" w:rsidP="00D95D9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A079D6A" w14:textId="77777777" w:rsidR="0011329C" w:rsidRPr="00A37FB1" w:rsidRDefault="0011329C" w:rsidP="00D95D93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367171" w14:textId="77777777" w:rsidR="0011329C" w:rsidRPr="00274F7E" w:rsidRDefault="0011329C" w:rsidP="0011329C">
      <w:pPr>
        <w:rPr>
          <w:sz w:val="24"/>
        </w:rPr>
      </w:pPr>
    </w:p>
    <w:p w14:paraId="5BAB076B" w14:textId="77777777" w:rsidR="0011329C" w:rsidRDefault="0011329C" w:rsidP="0011329C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p w14:paraId="4B48738E" w14:textId="77777777" w:rsidR="0011329C" w:rsidRPr="00274F7E" w:rsidRDefault="0011329C" w:rsidP="0011329C">
      <w:pPr>
        <w:rPr>
          <w:sz w:val="24"/>
        </w:rPr>
      </w:pPr>
      <w:r>
        <w:rPr>
          <w:sz w:val="24"/>
        </w:rPr>
        <w:t>Present: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3242"/>
        <w:gridCol w:w="3235"/>
        <w:gridCol w:w="3243"/>
      </w:tblGrid>
      <w:tr w:rsidR="0011329C" w:rsidRPr="009600DC" w14:paraId="615BB937" w14:textId="77777777" w:rsidTr="00D95D93">
        <w:tc>
          <w:tcPr>
            <w:tcW w:w="3242" w:type="dxa"/>
          </w:tcPr>
          <w:p w14:paraId="3585E6B4" w14:textId="77777777" w:rsidR="0011329C" w:rsidRPr="00950C47" w:rsidRDefault="0011329C" w:rsidP="00D95D9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C47">
              <w:rPr>
                <w:rFonts w:asciiTheme="minorHAnsi" w:hAnsiTheme="minorHAnsi" w:cstheme="minorHAnsi"/>
                <w:sz w:val="24"/>
                <w:szCs w:val="24"/>
              </w:rPr>
              <w:t>Abe Berman</w:t>
            </w:r>
          </w:p>
        </w:tc>
        <w:tc>
          <w:tcPr>
            <w:tcW w:w="3235" w:type="dxa"/>
          </w:tcPr>
          <w:p w14:paraId="6CF0523E" w14:textId="77777777" w:rsidR="0011329C" w:rsidRPr="00950C47" w:rsidRDefault="0011329C" w:rsidP="00D95D9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C47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</w:tcPr>
          <w:p w14:paraId="5A8FFFF8" w14:textId="77777777" w:rsidR="0011329C" w:rsidRPr="00950C47" w:rsidRDefault="0011329C" w:rsidP="00D95D93">
            <w:pPr>
              <w:rPr>
                <w:rFonts w:asciiTheme="minorHAnsi" w:hAnsiTheme="minorHAnsi" w:cstheme="minorHAnsi"/>
                <w:sz w:val="24"/>
              </w:rPr>
            </w:pPr>
            <w:r w:rsidRPr="00950C47">
              <w:rPr>
                <w:rFonts w:asciiTheme="minorHAnsi" w:eastAsia="MS Mincho" w:hAnsiTheme="minorHAnsi" w:cstheme="minorHAnsi"/>
                <w:sz w:val="24"/>
              </w:rPr>
              <w:t>Kellie Hinton</w:t>
            </w:r>
          </w:p>
        </w:tc>
      </w:tr>
      <w:tr w:rsidR="0011329C" w:rsidRPr="009600DC" w14:paraId="0AFF06DB" w14:textId="77777777" w:rsidTr="00D95D93">
        <w:tc>
          <w:tcPr>
            <w:tcW w:w="3242" w:type="dxa"/>
          </w:tcPr>
          <w:p w14:paraId="16DD50F2" w14:textId="77777777" w:rsidR="0011329C" w:rsidRPr="00950C47" w:rsidRDefault="0011329C" w:rsidP="00D95D93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C47">
              <w:rPr>
                <w:rFonts w:asciiTheme="minorHAnsi" w:hAnsiTheme="minorHAnsi" w:cstheme="minorHAnsi"/>
                <w:sz w:val="24"/>
                <w:szCs w:val="24"/>
              </w:rPr>
              <w:t>Sara Barry</w:t>
            </w:r>
          </w:p>
        </w:tc>
        <w:tc>
          <w:tcPr>
            <w:tcW w:w="3235" w:type="dxa"/>
          </w:tcPr>
          <w:p w14:paraId="4376FED9" w14:textId="77777777" w:rsidR="0011329C" w:rsidRPr="00950C47" w:rsidRDefault="0011329C" w:rsidP="00D95D93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C47">
              <w:rPr>
                <w:rFonts w:asciiTheme="minorHAnsi" w:eastAsia="MS Mincho" w:hAnsiTheme="minorHAnsi" w:cstheme="minorHAnsi"/>
                <w:sz w:val="24"/>
              </w:rPr>
              <w:t>Aaron Perry</w:t>
            </w:r>
          </w:p>
        </w:tc>
        <w:tc>
          <w:tcPr>
            <w:tcW w:w="3243" w:type="dxa"/>
          </w:tcPr>
          <w:p w14:paraId="471BA7BE" w14:textId="5918F202" w:rsidR="0011329C" w:rsidRPr="00950C47" w:rsidRDefault="003063F3" w:rsidP="00D95D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0C47">
              <w:rPr>
                <w:rFonts w:asciiTheme="minorHAnsi" w:eastAsia="MS Mincho" w:hAnsiTheme="minorHAnsi" w:cstheme="minorHAnsi"/>
                <w:sz w:val="24"/>
              </w:rPr>
              <w:t>Carrie Wulfman</w:t>
            </w:r>
          </w:p>
        </w:tc>
      </w:tr>
      <w:tr w:rsidR="0011329C" w:rsidRPr="009600DC" w14:paraId="302D4F46" w14:textId="77777777" w:rsidTr="00D95D93">
        <w:tc>
          <w:tcPr>
            <w:tcW w:w="3242" w:type="dxa"/>
          </w:tcPr>
          <w:p w14:paraId="74B6C96F" w14:textId="77777777" w:rsidR="0011329C" w:rsidRPr="00950C47" w:rsidRDefault="0011329C" w:rsidP="00D95D93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C47">
              <w:rPr>
                <w:rFonts w:asciiTheme="minorHAnsi" w:eastAsia="MS Mincho" w:hAnsiTheme="minorHAnsi" w:cstheme="minorHAnsi"/>
                <w:sz w:val="24"/>
              </w:rPr>
              <w:lastRenderedPageBreak/>
              <w:t>Greg Daniels</w:t>
            </w:r>
          </w:p>
        </w:tc>
        <w:tc>
          <w:tcPr>
            <w:tcW w:w="3235" w:type="dxa"/>
          </w:tcPr>
          <w:p w14:paraId="235AAB46" w14:textId="77777777" w:rsidR="0011329C" w:rsidRPr="00950C47" w:rsidRDefault="0011329C" w:rsidP="00D95D93">
            <w:pPr>
              <w:rPr>
                <w:rFonts w:asciiTheme="minorHAnsi" w:eastAsia="MS Mincho" w:hAnsiTheme="minorHAnsi" w:cstheme="minorHAnsi"/>
                <w:sz w:val="24"/>
              </w:rPr>
            </w:pPr>
            <w:r w:rsidRPr="00950C47">
              <w:rPr>
                <w:rFonts w:asciiTheme="minorHAnsi" w:eastAsia="MS Mincho" w:hAnsiTheme="minorHAnsi" w:cstheme="minorHAnsi"/>
                <w:sz w:val="24"/>
              </w:rPr>
              <w:t>Lucie Garand</w:t>
            </w:r>
          </w:p>
        </w:tc>
        <w:tc>
          <w:tcPr>
            <w:tcW w:w="3243" w:type="dxa"/>
          </w:tcPr>
          <w:p w14:paraId="68697152" w14:textId="18655778" w:rsidR="00AC02DA" w:rsidRPr="00950C47" w:rsidRDefault="0011329C" w:rsidP="00D95D93">
            <w:pPr>
              <w:tabs>
                <w:tab w:val="left" w:pos="0"/>
                <w:tab w:val="left" w:pos="36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  <w:r w:rsidRPr="00950C47">
              <w:rPr>
                <w:rFonts w:asciiTheme="minorHAnsi" w:eastAsia="MS Mincho" w:hAnsiTheme="minorHAnsi" w:cstheme="minorHAnsi"/>
                <w:sz w:val="24"/>
              </w:rPr>
              <w:t>Tom Borys</w:t>
            </w:r>
          </w:p>
        </w:tc>
      </w:tr>
      <w:tr w:rsidR="00AC02DA" w:rsidRPr="009600DC" w14:paraId="6509A163" w14:textId="77777777" w:rsidTr="00D95D93">
        <w:tc>
          <w:tcPr>
            <w:tcW w:w="3242" w:type="dxa"/>
          </w:tcPr>
          <w:p w14:paraId="4E5688D3" w14:textId="4A499727" w:rsidR="00AC02DA" w:rsidRPr="00950C47" w:rsidRDefault="00AC02DA" w:rsidP="00D95D93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  <w:r w:rsidRPr="00950C47">
              <w:rPr>
                <w:rFonts w:asciiTheme="minorHAnsi" w:eastAsia="MS Mincho" w:hAnsiTheme="minorHAnsi" w:cstheme="minorHAnsi"/>
                <w:sz w:val="24"/>
              </w:rPr>
              <w:t>Derek Raynes</w:t>
            </w:r>
          </w:p>
        </w:tc>
        <w:tc>
          <w:tcPr>
            <w:tcW w:w="3235" w:type="dxa"/>
          </w:tcPr>
          <w:p w14:paraId="68CBEFD9" w14:textId="77777777" w:rsidR="00AC02DA" w:rsidRPr="00950C47" w:rsidRDefault="00AC02DA" w:rsidP="00D95D93">
            <w:pPr>
              <w:rPr>
                <w:rFonts w:eastAsia="MS Mincho" w:cstheme="minorHAnsi"/>
                <w:sz w:val="24"/>
              </w:rPr>
            </w:pPr>
          </w:p>
        </w:tc>
        <w:tc>
          <w:tcPr>
            <w:tcW w:w="3243" w:type="dxa"/>
          </w:tcPr>
          <w:p w14:paraId="72BD58EE" w14:textId="77777777" w:rsidR="00AC02DA" w:rsidRPr="00950C47" w:rsidRDefault="00AC02DA" w:rsidP="00D95D93">
            <w:pPr>
              <w:tabs>
                <w:tab w:val="left" w:pos="0"/>
                <w:tab w:val="left" w:pos="360"/>
              </w:tabs>
              <w:jc w:val="both"/>
              <w:rPr>
                <w:rFonts w:eastAsia="MS Mincho" w:cstheme="minorHAnsi"/>
                <w:sz w:val="24"/>
              </w:rPr>
            </w:pPr>
          </w:p>
        </w:tc>
      </w:tr>
    </w:tbl>
    <w:p w14:paraId="40B71ACA" w14:textId="77777777" w:rsidR="0011329C" w:rsidRDefault="0011329C" w:rsidP="0011329C"/>
    <w:p w14:paraId="6CEBD905" w14:textId="77777777" w:rsidR="00715042" w:rsidRDefault="00715042"/>
    <w:sectPr w:rsidR="0071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823"/>
    <w:multiLevelType w:val="hybridMultilevel"/>
    <w:tmpl w:val="C1BE308C"/>
    <w:lvl w:ilvl="0" w:tplc="F5D23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17163"/>
    <w:multiLevelType w:val="hybridMultilevel"/>
    <w:tmpl w:val="BD2604A4"/>
    <w:lvl w:ilvl="0" w:tplc="057CC9FC">
      <w:start w:val="1"/>
      <w:numFmt w:val="upperRoman"/>
      <w:lvlText w:val="%1."/>
      <w:lvlJc w:val="right"/>
      <w:pPr>
        <w:ind w:left="720" w:hanging="360"/>
      </w:pPr>
    </w:lvl>
    <w:lvl w:ilvl="1" w:tplc="42B8FFB2">
      <w:start w:val="1"/>
      <w:numFmt w:val="lowerLetter"/>
      <w:lvlText w:val="%2."/>
      <w:lvlJc w:val="left"/>
      <w:pPr>
        <w:ind w:left="1440" w:hanging="360"/>
      </w:pPr>
    </w:lvl>
    <w:lvl w:ilvl="2" w:tplc="1E58663A" w:tentative="1">
      <w:start w:val="1"/>
      <w:numFmt w:val="lowerRoman"/>
      <w:lvlText w:val="%3."/>
      <w:lvlJc w:val="right"/>
      <w:pPr>
        <w:ind w:left="2160" w:hanging="180"/>
      </w:pPr>
    </w:lvl>
    <w:lvl w:ilvl="3" w:tplc="189429FC" w:tentative="1">
      <w:start w:val="1"/>
      <w:numFmt w:val="decimal"/>
      <w:lvlText w:val="%4."/>
      <w:lvlJc w:val="left"/>
      <w:pPr>
        <w:ind w:left="2880" w:hanging="360"/>
      </w:pPr>
    </w:lvl>
    <w:lvl w:ilvl="4" w:tplc="1514EAAE" w:tentative="1">
      <w:start w:val="1"/>
      <w:numFmt w:val="lowerLetter"/>
      <w:lvlText w:val="%5."/>
      <w:lvlJc w:val="left"/>
      <w:pPr>
        <w:ind w:left="3600" w:hanging="360"/>
      </w:pPr>
    </w:lvl>
    <w:lvl w:ilvl="5" w:tplc="C0086E00" w:tentative="1">
      <w:start w:val="1"/>
      <w:numFmt w:val="lowerRoman"/>
      <w:lvlText w:val="%6."/>
      <w:lvlJc w:val="right"/>
      <w:pPr>
        <w:ind w:left="4320" w:hanging="180"/>
      </w:pPr>
    </w:lvl>
    <w:lvl w:ilvl="6" w:tplc="6ABADFBC" w:tentative="1">
      <w:start w:val="1"/>
      <w:numFmt w:val="decimal"/>
      <w:lvlText w:val="%7."/>
      <w:lvlJc w:val="left"/>
      <w:pPr>
        <w:ind w:left="5040" w:hanging="360"/>
      </w:pPr>
    </w:lvl>
    <w:lvl w:ilvl="7" w:tplc="B50C0F6E" w:tentative="1">
      <w:start w:val="1"/>
      <w:numFmt w:val="lowerLetter"/>
      <w:lvlText w:val="%8."/>
      <w:lvlJc w:val="left"/>
      <w:pPr>
        <w:ind w:left="5760" w:hanging="360"/>
      </w:pPr>
    </w:lvl>
    <w:lvl w:ilvl="8" w:tplc="5F1AFCC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512866">
    <w:abstractNumId w:val="1"/>
  </w:num>
  <w:num w:numId="2" w16cid:durableId="46912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C"/>
    <w:rsid w:val="000C57AF"/>
    <w:rsid w:val="0011329C"/>
    <w:rsid w:val="00166A32"/>
    <w:rsid w:val="0018756E"/>
    <w:rsid w:val="001971AA"/>
    <w:rsid w:val="003063F3"/>
    <w:rsid w:val="003332D8"/>
    <w:rsid w:val="003808DA"/>
    <w:rsid w:val="003C1523"/>
    <w:rsid w:val="004E78AB"/>
    <w:rsid w:val="00605304"/>
    <w:rsid w:val="00634133"/>
    <w:rsid w:val="006D2E85"/>
    <w:rsid w:val="00715042"/>
    <w:rsid w:val="00723DB5"/>
    <w:rsid w:val="00950C47"/>
    <w:rsid w:val="00AC02DA"/>
    <w:rsid w:val="00C27588"/>
    <w:rsid w:val="00C629F2"/>
    <w:rsid w:val="00F370BB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1916"/>
  <w15:chartTrackingRefBased/>
  <w15:docId w15:val="{DE8A1B94-7DC5-4DC9-A4E3-33DF0F1B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C"/>
    <w:pPr>
      <w:ind w:left="720"/>
      <w:contextualSpacing/>
    </w:pPr>
  </w:style>
  <w:style w:type="table" w:styleId="TableGrid">
    <w:name w:val="Table Grid"/>
    <w:basedOn w:val="TableNormal"/>
    <w:rsid w:val="0011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150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2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Hinton, Kellie</cp:lastModifiedBy>
  <cp:revision>2</cp:revision>
  <dcterms:created xsi:type="dcterms:W3CDTF">2023-11-16T19:51:00Z</dcterms:created>
  <dcterms:modified xsi:type="dcterms:W3CDTF">2023-11-16T19:51:00Z</dcterms:modified>
</cp:coreProperties>
</file>